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468" w:rsidRPr="000A2825" w:rsidRDefault="00C23468" w:rsidP="00C23468">
      <w:pPr>
        <w:spacing w:line="360" w:lineRule="auto"/>
        <w:rPr>
          <w:rFonts w:ascii="黑体" w:eastAsia="黑体" w:hAnsi="黑体"/>
          <w:sz w:val="32"/>
          <w:szCs w:val="32"/>
        </w:rPr>
      </w:pPr>
      <w:r w:rsidRPr="000A2825">
        <w:rPr>
          <w:rFonts w:ascii="黑体" w:eastAsia="黑体" w:hAnsi="黑体"/>
          <w:sz w:val="32"/>
          <w:szCs w:val="32"/>
        </w:rPr>
        <w:t>附件2</w:t>
      </w:r>
    </w:p>
    <w:p w:rsidR="00C23468" w:rsidRPr="002F6F3A" w:rsidRDefault="00C23468" w:rsidP="00C23468">
      <w:pPr>
        <w:spacing w:line="580" w:lineRule="exact"/>
        <w:jc w:val="center"/>
        <w:rPr>
          <w:rFonts w:eastAsia="黑体"/>
          <w:sz w:val="32"/>
          <w:szCs w:val="32"/>
        </w:rPr>
      </w:pPr>
    </w:p>
    <w:p w:rsidR="00C23468" w:rsidRPr="002F6F3A" w:rsidRDefault="00C23468" w:rsidP="00C23468">
      <w:pPr>
        <w:adjustRightInd w:val="0"/>
        <w:snapToGrid w:val="0"/>
        <w:spacing w:line="580" w:lineRule="exact"/>
        <w:jc w:val="center"/>
        <w:rPr>
          <w:rFonts w:eastAsia="方正小标宋简体"/>
          <w:sz w:val="44"/>
          <w:szCs w:val="44"/>
        </w:rPr>
      </w:pPr>
      <w:r w:rsidRPr="002F6F3A">
        <w:rPr>
          <w:rFonts w:eastAsia="方正小标宋简体"/>
          <w:sz w:val="44"/>
          <w:szCs w:val="44"/>
        </w:rPr>
        <w:t>预防用疫苗临床可比性研究技术指导原则</w:t>
      </w:r>
    </w:p>
    <w:p w:rsidR="00C23468" w:rsidRPr="002F6F3A" w:rsidRDefault="00C23468" w:rsidP="00C23468">
      <w:pPr>
        <w:adjustRightInd w:val="0"/>
        <w:snapToGrid w:val="0"/>
        <w:spacing w:line="580" w:lineRule="exact"/>
        <w:jc w:val="center"/>
        <w:rPr>
          <w:rFonts w:eastAsia="方正小标宋简体"/>
          <w:sz w:val="44"/>
          <w:szCs w:val="44"/>
        </w:rPr>
      </w:pPr>
      <w:r w:rsidRPr="002F6F3A">
        <w:rPr>
          <w:rFonts w:eastAsia="方正小标宋简体"/>
          <w:sz w:val="44"/>
          <w:szCs w:val="44"/>
        </w:rPr>
        <w:t>起草说明</w:t>
      </w:r>
    </w:p>
    <w:p w:rsidR="00C23468" w:rsidRPr="002F6F3A" w:rsidRDefault="00C23468" w:rsidP="00C23468">
      <w:pPr>
        <w:adjustRightInd w:val="0"/>
        <w:snapToGrid w:val="0"/>
        <w:spacing w:line="580" w:lineRule="exact"/>
        <w:ind w:firstLineChars="200" w:firstLine="640"/>
        <w:jc w:val="center"/>
        <w:rPr>
          <w:rFonts w:eastAsia="仿宋_GB2312"/>
          <w:b/>
          <w:color w:val="000000"/>
          <w:sz w:val="32"/>
          <w:szCs w:val="32"/>
        </w:rPr>
      </w:pPr>
    </w:p>
    <w:p w:rsidR="00C23468" w:rsidRPr="000A2825" w:rsidRDefault="00C23468" w:rsidP="00C23468">
      <w:pPr>
        <w:pStyle w:val="a3"/>
        <w:spacing w:line="490" w:lineRule="exact"/>
        <w:ind w:firstLineChars="200" w:firstLine="640"/>
        <w:rPr>
          <w:rFonts w:eastAsia="黑体"/>
          <w:sz w:val="32"/>
          <w:szCs w:val="32"/>
        </w:rPr>
      </w:pPr>
      <w:r w:rsidRPr="000A2825">
        <w:rPr>
          <w:rFonts w:eastAsia="黑体"/>
          <w:sz w:val="32"/>
          <w:szCs w:val="32"/>
        </w:rPr>
        <w:t>一、起草背景</w:t>
      </w:r>
    </w:p>
    <w:p w:rsidR="00C23468" w:rsidRPr="000A2825" w:rsidRDefault="00C23468" w:rsidP="00C23468">
      <w:pPr>
        <w:spacing w:line="490" w:lineRule="exact"/>
        <w:ind w:firstLineChars="200" w:firstLine="640"/>
        <w:rPr>
          <w:rFonts w:eastAsia="仿宋_GB2312"/>
          <w:sz w:val="32"/>
          <w:szCs w:val="32"/>
        </w:rPr>
      </w:pPr>
      <w:r w:rsidRPr="000A2825">
        <w:rPr>
          <w:rFonts w:eastAsia="仿宋_GB2312"/>
          <w:sz w:val="32"/>
          <w:szCs w:val="32"/>
        </w:rPr>
        <w:t>近年，随着经济和产业发展，预防用疫苗类产品的申报量逐年增多，包括非创新性疫苗的研发也在不断增加。《中华人民共和国疫苗管理法》的颁布实施，对疫苗也提出更高的监管需求。但目前我国临床研发质量和水平参差不齐，给疫苗的有效性和安全性评价带来了诸多挑战。</w:t>
      </w:r>
    </w:p>
    <w:p w:rsidR="00C23468" w:rsidRPr="000A2825" w:rsidRDefault="00C23468" w:rsidP="00C23468">
      <w:pPr>
        <w:pStyle w:val="a3"/>
        <w:spacing w:line="490" w:lineRule="exact"/>
        <w:ind w:firstLineChars="200" w:firstLine="640"/>
        <w:rPr>
          <w:rFonts w:eastAsia="仿宋_GB2312"/>
          <w:sz w:val="32"/>
          <w:szCs w:val="32"/>
        </w:rPr>
      </w:pPr>
      <w:r w:rsidRPr="000A2825">
        <w:rPr>
          <w:rFonts w:eastAsia="仿宋_GB2312"/>
          <w:sz w:val="32"/>
          <w:szCs w:val="32"/>
        </w:rPr>
        <w:t>为进一步规范和提高疫苗临床研发水平，落实国家关于加强疫苗质量安全监管工作的要求，明确和统一临床技术标准，保证同类疫苗注册上市时具有相似的安全性和有效性，</w:t>
      </w:r>
      <w:proofErr w:type="gramStart"/>
      <w:r w:rsidRPr="000A2825">
        <w:rPr>
          <w:rFonts w:eastAsia="仿宋_GB2312"/>
          <w:sz w:val="32"/>
          <w:szCs w:val="32"/>
        </w:rPr>
        <w:t>指导非</w:t>
      </w:r>
      <w:proofErr w:type="gramEnd"/>
      <w:r w:rsidRPr="000A2825">
        <w:rPr>
          <w:rFonts w:eastAsia="仿宋_GB2312"/>
          <w:sz w:val="32"/>
          <w:szCs w:val="32"/>
        </w:rPr>
        <w:t>创新性疫苗的临床研发和评价，国家药品监督管理局决定制订相关技术指导原则。</w:t>
      </w:r>
      <w:proofErr w:type="gramStart"/>
      <w:r w:rsidRPr="000A2825">
        <w:rPr>
          <w:rFonts w:eastAsia="仿宋_GB2312"/>
          <w:sz w:val="32"/>
          <w:szCs w:val="32"/>
        </w:rPr>
        <w:t>药审中心</w:t>
      </w:r>
      <w:proofErr w:type="gramEnd"/>
      <w:r w:rsidRPr="000A2825">
        <w:rPr>
          <w:rFonts w:eastAsia="仿宋_GB2312"/>
          <w:sz w:val="32"/>
          <w:szCs w:val="32"/>
        </w:rPr>
        <w:t>专门成立了起草小组，针对各类疫苗（灭活、减毒、重组、联合或结合疫苗等）进行了广泛调研，起草了技术要求框架并确定了核心内容，并多次召开专题研讨会，广泛听取各界意见，形成征求意见稿并在中心网站公开征求意见。之后，在对征集的意见汇总分析基础上，对指导原则进行了修改和完善，正式上报国家局。国家局两次组织有关单位进行了讨论修改，并根据《中华人民共和国疫苗管理法》有关规定更新了相关技术要求。</w:t>
      </w:r>
    </w:p>
    <w:p w:rsidR="00C23468" w:rsidRPr="000A2825" w:rsidRDefault="00C23468" w:rsidP="00C23468">
      <w:pPr>
        <w:pStyle w:val="a3"/>
        <w:spacing w:line="490" w:lineRule="exact"/>
        <w:ind w:firstLineChars="200" w:firstLine="640"/>
        <w:rPr>
          <w:rFonts w:eastAsia="黑体"/>
          <w:sz w:val="32"/>
          <w:szCs w:val="32"/>
        </w:rPr>
      </w:pPr>
      <w:r w:rsidRPr="000A2825">
        <w:rPr>
          <w:rFonts w:eastAsia="黑体"/>
          <w:sz w:val="32"/>
          <w:szCs w:val="32"/>
        </w:rPr>
        <w:t>二、主要内容与说明</w:t>
      </w:r>
    </w:p>
    <w:p w:rsidR="00C23468" w:rsidRPr="000A2825" w:rsidRDefault="00C23468" w:rsidP="00C23468">
      <w:pPr>
        <w:spacing w:line="520" w:lineRule="exact"/>
        <w:ind w:firstLineChars="200" w:firstLine="640"/>
        <w:rPr>
          <w:rFonts w:eastAsia="仿宋_GB2312"/>
          <w:sz w:val="32"/>
          <w:szCs w:val="32"/>
        </w:rPr>
      </w:pPr>
      <w:r w:rsidRPr="000A2825">
        <w:rPr>
          <w:rFonts w:eastAsia="仿宋_GB2312"/>
          <w:sz w:val="32"/>
          <w:szCs w:val="32"/>
        </w:rPr>
        <w:t>本指导原则系在调研国内外研发生产企业和国外评价机构相关技术要求的基础上，结合当前国内疫苗临床研发的实际针对非创新疫苗特点制定，主体内容共分六个部分。</w:t>
      </w:r>
    </w:p>
    <w:p w:rsidR="00C23468" w:rsidRPr="000A2825" w:rsidRDefault="00C23468" w:rsidP="00C23468">
      <w:pPr>
        <w:spacing w:line="520" w:lineRule="exact"/>
        <w:ind w:firstLineChars="200" w:firstLine="640"/>
        <w:rPr>
          <w:rFonts w:eastAsia="仿宋_GB2312"/>
          <w:sz w:val="32"/>
          <w:szCs w:val="32"/>
        </w:rPr>
      </w:pPr>
      <w:r w:rsidRPr="000A2825">
        <w:rPr>
          <w:rFonts w:eastAsia="仿宋_GB2312"/>
          <w:sz w:val="32"/>
          <w:szCs w:val="32"/>
        </w:rPr>
        <w:lastRenderedPageBreak/>
        <w:t>第一部分</w:t>
      </w:r>
      <w:r w:rsidRPr="000A2825">
        <w:rPr>
          <w:rFonts w:eastAsia="仿宋_GB2312"/>
          <w:sz w:val="32"/>
          <w:szCs w:val="32"/>
        </w:rPr>
        <w:t>“</w:t>
      </w:r>
      <w:r w:rsidRPr="000A2825">
        <w:rPr>
          <w:rFonts w:eastAsia="仿宋_GB2312"/>
          <w:sz w:val="32"/>
          <w:szCs w:val="32"/>
        </w:rPr>
        <w:t>前言</w:t>
      </w:r>
      <w:r w:rsidRPr="000A2825">
        <w:rPr>
          <w:rFonts w:eastAsia="仿宋_GB2312"/>
          <w:sz w:val="32"/>
          <w:szCs w:val="32"/>
        </w:rPr>
        <w:t>”</w:t>
      </w:r>
      <w:r w:rsidRPr="000A2825">
        <w:rPr>
          <w:rFonts w:eastAsia="仿宋_GB2312"/>
          <w:sz w:val="32"/>
          <w:szCs w:val="32"/>
        </w:rPr>
        <w:t>，说明本指导原则的起草背景，明确了适用范围。</w:t>
      </w:r>
    </w:p>
    <w:p w:rsidR="00C23468" w:rsidRPr="000A2825" w:rsidRDefault="00C23468" w:rsidP="00C23468">
      <w:pPr>
        <w:spacing w:line="520" w:lineRule="exact"/>
        <w:ind w:firstLineChars="200" w:firstLine="640"/>
        <w:rPr>
          <w:rFonts w:eastAsia="仿宋_GB2312"/>
          <w:sz w:val="32"/>
          <w:szCs w:val="32"/>
        </w:rPr>
      </w:pPr>
      <w:r w:rsidRPr="000A2825">
        <w:rPr>
          <w:rFonts w:eastAsia="仿宋_GB2312"/>
          <w:sz w:val="32"/>
          <w:szCs w:val="32"/>
        </w:rPr>
        <w:t>第二部分</w:t>
      </w:r>
      <w:r w:rsidRPr="000A2825">
        <w:rPr>
          <w:rFonts w:eastAsia="仿宋_GB2312"/>
          <w:sz w:val="32"/>
          <w:szCs w:val="32"/>
        </w:rPr>
        <w:t>“</w:t>
      </w:r>
      <w:r w:rsidRPr="000A2825">
        <w:rPr>
          <w:rFonts w:eastAsia="仿宋_GB2312"/>
          <w:sz w:val="32"/>
          <w:szCs w:val="32"/>
        </w:rPr>
        <w:t>临床试验前的考虑</w:t>
      </w:r>
      <w:r w:rsidRPr="000A2825">
        <w:rPr>
          <w:rFonts w:eastAsia="仿宋_GB2312"/>
          <w:sz w:val="32"/>
          <w:szCs w:val="32"/>
        </w:rPr>
        <w:t>”</w:t>
      </w:r>
      <w:r w:rsidRPr="000A2825">
        <w:rPr>
          <w:rFonts w:eastAsia="仿宋_GB2312"/>
          <w:sz w:val="32"/>
          <w:szCs w:val="32"/>
        </w:rPr>
        <w:t>，简要介绍了开展临床可比性研究前，在疫苗临床研发立题、药学和非临床研发方面的考虑。</w:t>
      </w:r>
    </w:p>
    <w:p w:rsidR="00C23468" w:rsidRPr="000A2825" w:rsidRDefault="00C23468" w:rsidP="00C23468">
      <w:pPr>
        <w:spacing w:line="520" w:lineRule="exact"/>
        <w:ind w:firstLineChars="200" w:firstLine="640"/>
        <w:rPr>
          <w:rFonts w:eastAsia="仿宋_GB2312"/>
          <w:sz w:val="32"/>
          <w:szCs w:val="32"/>
        </w:rPr>
      </w:pPr>
      <w:r w:rsidRPr="000A2825">
        <w:rPr>
          <w:rFonts w:eastAsia="仿宋_GB2312"/>
          <w:sz w:val="32"/>
          <w:szCs w:val="32"/>
        </w:rPr>
        <w:t>第三部分</w:t>
      </w:r>
      <w:r w:rsidRPr="000A2825">
        <w:rPr>
          <w:rFonts w:eastAsia="仿宋_GB2312"/>
          <w:sz w:val="32"/>
          <w:szCs w:val="32"/>
        </w:rPr>
        <w:t>“</w:t>
      </w:r>
      <w:r w:rsidRPr="000A2825">
        <w:rPr>
          <w:rFonts w:eastAsia="仿宋_GB2312"/>
          <w:sz w:val="32"/>
          <w:szCs w:val="32"/>
        </w:rPr>
        <w:t>临床试验设计的一般考虑</w:t>
      </w:r>
      <w:r w:rsidRPr="000A2825">
        <w:rPr>
          <w:rFonts w:eastAsia="仿宋_GB2312"/>
          <w:sz w:val="32"/>
          <w:szCs w:val="32"/>
        </w:rPr>
        <w:t>”</w:t>
      </w:r>
      <w:r w:rsidRPr="000A2825">
        <w:rPr>
          <w:rFonts w:eastAsia="仿宋_GB2312"/>
          <w:sz w:val="32"/>
          <w:szCs w:val="32"/>
        </w:rPr>
        <w:t>，详细阐述了临床可比性研究中对照疫苗的选择、研究疫苗管理及免疫原性替代指标的具体要求，重申了安全性评价的考虑。</w:t>
      </w:r>
      <w:proofErr w:type="gramStart"/>
      <w:r w:rsidRPr="000A2825">
        <w:rPr>
          <w:rFonts w:eastAsia="仿宋_GB2312"/>
          <w:sz w:val="32"/>
          <w:szCs w:val="32"/>
        </w:rPr>
        <w:t>对批间临床</w:t>
      </w:r>
      <w:proofErr w:type="gramEnd"/>
      <w:r w:rsidRPr="000A2825">
        <w:rPr>
          <w:rFonts w:eastAsia="仿宋_GB2312"/>
          <w:sz w:val="32"/>
          <w:szCs w:val="32"/>
        </w:rPr>
        <w:t>一致性研究和临床试验生物标本检测的要求也进行了详细介绍。</w:t>
      </w:r>
    </w:p>
    <w:p w:rsidR="00C23468" w:rsidRPr="000A2825" w:rsidRDefault="00C23468" w:rsidP="00C23468">
      <w:pPr>
        <w:spacing w:line="520" w:lineRule="exact"/>
        <w:ind w:firstLineChars="200" w:firstLine="640"/>
        <w:rPr>
          <w:rFonts w:eastAsia="仿宋_GB2312"/>
          <w:sz w:val="32"/>
          <w:szCs w:val="32"/>
        </w:rPr>
      </w:pPr>
      <w:r w:rsidRPr="000A2825">
        <w:rPr>
          <w:rFonts w:eastAsia="仿宋_GB2312"/>
          <w:sz w:val="32"/>
          <w:szCs w:val="32"/>
        </w:rPr>
        <w:t>第四部分</w:t>
      </w:r>
      <w:r w:rsidRPr="000A2825">
        <w:rPr>
          <w:rFonts w:eastAsia="仿宋_GB2312"/>
          <w:sz w:val="32"/>
          <w:szCs w:val="32"/>
        </w:rPr>
        <w:t>“</w:t>
      </w:r>
      <w:r w:rsidRPr="000A2825">
        <w:rPr>
          <w:rFonts w:eastAsia="仿宋_GB2312"/>
          <w:sz w:val="32"/>
          <w:szCs w:val="32"/>
        </w:rPr>
        <w:t>临床试验设计的统计学考虑</w:t>
      </w:r>
      <w:r w:rsidRPr="000A2825">
        <w:rPr>
          <w:rFonts w:eastAsia="仿宋_GB2312"/>
          <w:sz w:val="32"/>
          <w:szCs w:val="32"/>
        </w:rPr>
        <w:t>”</w:t>
      </w:r>
      <w:r w:rsidRPr="000A2825">
        <w:rPr>
          <w:rFonts w:eastAsia="仿宋_GB2312"/>
          <w:sz w:val="32"/>
          <w:szCs w:val="32"/>
        </w:rPr>
        <w:t>，详细介绍了疫苗临床可比性研究中统计处理应遵循的一般原则，并重点介绍了非劣效、等效研究设计的具体考虑，包括界值的确定、样本量估算及缺失数据处理等。</w:t>
      </w:r>
    </w:p>
    <w:p w:rsidR="00C23468" w:rsidRPr="000A2825" w:rsidRDefault="00C23468" w:rsidP="00C23468">
      <w:pPr>
        <w:spacing w:line="520" w:lineRule="exact"/>
        <w:ind w:firstLineChars="200" w:firstLine="640"/>
        <w:rPr>
          <w:rFonts w:eastAsia="仿宋_GB2312"/>
          <w:sz w:val="32"/>
          <w:szCs w:val="32"/>
        </w:rPr>
      </w:pPr>
      <w:r w:rsidRPr="000A2825">
        <w:rPr>
          <w:rFonts w:eastAsia="仿宋_GB2312"/>
          <w:sz w:val="32"/>
          <w:szCs w:val="32"/>
        </w:rPr>
        <w:t>第五部分</w:t>
      </w:r>
      <w:r w:rsidRPr="000A2825">
        <w:rPr>
          <w:rFonts w:eastAsia="仿宋_GB2312"/>
          <w:sz w:val="32"/>
          <w:szCs w:val="32"/>
        </w:rPr>
        <w:t>“</w:t>
      </w:r>
      <w:r w:rsidRPr="000A2825">
        <w:rPr>
          <w:rFonts w:eastAsia="仿宋_GB2312"/>
          <w:sz w:val="32"/>
          <w:szCs w:val="32"/>
        </w:rPr>
        <w:t>数据管理和质量保证</w:t>
      </w:r>
      <w:r w:rsidRPr="000A2825">
        <w:rPr>
          <w:rFonts w:eastAsia="仿宋_GB2312"/>
          <w:sz w:val="32"/>
          <w:szCs w:val="32"/>
        </w:rPr>
        <w:t>”</w:t>
      </w:r>
      <w:r w:rsidRPr="000A2825">
        <w:rPr>
          <w:rFonts w:eastAsia="仿宋_GB2312"/>
          <w:sz w:val="32"/>
          <w:szCs w:val="32"/>
        </w:rPr>
        <w:t>，针对临床试验数据管理和质量保证诸多环节明确了技术要求。对于数据库提交的标准也进行了说明。</w:t>
      </w:r>
    </w:p>
    <w:p w:rsidR="00C23468" w:rsidRPr="000A2825" w:rsidRDefault="00C23468" w:rsidP="00C23468">
      <w:pPr>
        <w:spacing w:line="520" w:lineRule="exact"/>
        <w:ind w:firstLineChars="200" w:firstLine="640"/>
        <w:rPr>
          <w:rFonts w:eastAsia="仿宋_GB2312"/>
          <w:sz w:val="32"/>
          <w:szCs w:val="32"/>
        </w:rPr>
      </w:pPr>
      <w:r w:rsidRPr="000A2825">
        <w:rPr>
          <w:rFonts w:eastAsia="仿宋_GB2312"/>
          <w:sz w:val="32"/>
          <w:szCs w:val="32"/>
        </w:rPr>
        <w:t>第六部分</w:t>
      </w:r>
      <w:r w:rsidRPr="000A2825">
        <w:rPr>
          <w:rFonts w:eastAsia="仿宋_GB2312"/>
          <w:sz w:val="32"/>
          <w:szCs w:val="32"/>
        </w:rPr>
        <w:t>“</w:t>
      </w:r>
      <w:r w:rsidRPr="000A2825">
        <w:rPr>
          <w:rFonts w:eastAsia="仿宋_GB2312"/>
          <w:sz w:val="32"/>
          <w:szCs w:val="32"/>
        </w:rPr>
        <w:t>临床试验结果评价</w:t>
      </w:r>
      <w:r w:rsidRPr="000A2825">
        <w:rPr>
          <w:rFonts w:eastAsia="仿宋_GB2312"/>
          <w:sz w:val="32"/>
          <w:szCs w:val="32"/>
        </w:rPr>
        <w:t>”</w:t>
      </w:r>
      <w:r w:rsidRPr="000A2825">
        <w:rPr>
          <w:rFonts w:eastAsia="仿宋_GB2312"/>
          <w:sz w:val="32"/>
          <w:szCs w:val="32"/>
        </w:rPr>
        <w:t>，从安全性和免疫原性两个方面结合临床可比性研究的特点，阐明了技术评价的标准，强调了对临床结果可评价性的要求。</w:t>
      </w:r>
    </w:p>
    <w:p w:rsidR="00C23468" w:rsidRPr="000A2825" w:rsidRDefault="00C23468" w:rsidP="00C23468">
      <w:pPr>
        <w:spacing w:line="520" w:lineRule="exact"/>
        <w:ind w:firstLineChars="200" w:firstLine="640"/>
        <w:rPr>
          <w:rFonts w:eastAsia="仿宋_GB2312"/>
          <w:sz w:val="32"/>
          <w:szCs w:val="32"/>
        </w:rPr>
      </w:pPr>
      <w:r w:rsidRPr="000A2825">
        <w:rPr>
          <w:rFonts w:eastAsia="仿宋_GB2312"/>
          <w:sz w:val="32"/>
          <w:szCs w:val="32"/>
        </w:rPr>
        <w:t>指导原则结束部分是本文相关的名词解释和参考文献。</w:t>
      </w:r>
    </w:p>
    <w:p w:rsidR="004B018B" w:rsidRPr="00C23468" w:rsidRDefault="004B018B"/>
    <w:sectPr w:rsidR="004B018B" w:rsidRPr="00C23468" w:rsidSect="004B01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3468"/>
    <w:rsid w:val="004B018B"/>
    <w:rsid w:val="006640CC"/>
    <w:rsid w:val="00C23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4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qFormat/>
    <w:rsid w:val="00C23468"/>
    <w:pPr>
      <w:widowControl w:val="0"/>
      <w:spacing w:line="360" w:lineRule="auto"/>
      <w:ind w:firstLine="200"/>
      <w:jc w:val="both"/>
    </w:pPr>
    <w:rPr>
      <w:rFonts w:ascii="Times New Roman" w:eastAsia="Times New Roman" w:hAnsi="Times New Roman" w:cs="Times New Roman"/>
      <w:color w:val="000000"/>
      <w:sz w:val="24"/>
      <w:szCs w:val="24"/>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haier</cp:lastModifiedBy>
  <cp:revision>1</cp:revision>
  <dcterms:created xsi:type="dcterms:W3CDTF">2019-12-24T02:46:00Z</dcterms:created>
  <dcterms:modified xsi:type="dcterms:W3CDTF">2019-12-24T02:46:00Z</dcterms:modified>
</cp:coreProperties>
</file>