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B2A99" w14:textId="77777777" w:rsidR="001A03FB" w:rsidRPr="00C12E90" w:rsidRDefault="00FE075B" w:rsidP="001A03FB">
      <w:pPr>
        <w:widowControl/>
        <w:spacing w:line="360" w:lineRule="auto"/>
        <w:jc w:val="center"/>
        <w:rPr>
          <w:rFonts w:ascii="方正小标宋简体" w:eastAsia="方正小标宋简体" w:hAnsi="宋体" w:cs="Times New Roman"/>
          <w:spacing w:val="-8"/>
          <w:sz w:val="40"/>
          <w:szCs w:val="44"/>
        </w:rPr>
      </w:pPr>
      <w:r w:rsidRPr="00C12E90">
        <w:rPr>
          <w:rFonts w:ascii="方正小标宋简体" w:eastAsia="方正小标宋简体" w:hAnsi="宋体" w:cs="Times New Roman" w:hint="eastAsia"/>
          <w:spacing w:val="-8"/>
          <w:sz w:val="40"/>
          <w:szCs w:val="44"/>
        </w:rPr>
        <w:t>盐酸多柔比星脂质体注射液仿制药</w:t>
      </w:r>
    </w:p>
    <w:p w14:paraId="52350CC7" w14:textId="7DF40D63" w:rsidR="00FE075B" w:rsidRPr="00C12E90" w:rsidRDefault="00FE075B" w:rsidP="001A03FB">
      <w:pPr>
        <w:widowControl/>
        <w:spacing w:line="360" w:lineRule="auto"/>
        <w:jc w:val="center"/>
        <w:rPr>
          <w:rFonts w:ascii="仿宋_GB2312" w:eastAsia="仿宋_GB2312" w:hAnsi="仿宋" w:cs="Times New Roman"/>
          <w:b/>
          <w:spacing w:val="-8"/>
          <w:sz w:val="36"/>
          <w:szCs w:val="44"/>
        </w:rPr>
      </w:pPr>
      <w:r w:rsidRPr="00C12E90">
        <w:rPr>
          <w:rFonts w:ascii="方正小标宋简体" w:eastAsia="方正小标宋简体" w:hAnsi="宋体" w:cs="Times New Roman" w:hint="eastAsia"/>
          <w:spacing w:val="-8"/>
          <w:sz w:val="40"/>
          <w:szCs w:val="44"/>
        </w:rPr>
        <w:t>研究技术</w:t>
      </w:r>
      <w:r w:rsidR="001A03FB" w:rsidRPr="00C12E90">
        <w:rPr>
          <w:rFonts w:ascii="方正小标宋简体" w:eastAsia="方正小标宋简体" w:hAnsi="宋体" w:cs="Times New Roman" w:hint="eastAsia"/>
          <w:spacing w:val="-8"/>
          <w:sz w:val="40"/>
          <w:szCs w:val="44"/>
        </w:rPr>
        <w:t>指导原则</w:t>
      </w:r>
      <w:r w:rsidR="001A03FB" w:rsidRPr="00C12E90">
        <w:rPr>
          <w:rFonts w:ascii="仿宋_GB2312" w:eastAsia="仿宋_GB2312" w:hAnsi="宋体" w:cs="Times New Roman" w:hint="eastAsia"/>
          <w:b/>
          <w:spacing w:val="-8"/>
          <w:sz w:val="36"/>
          <w:szCs w:val="44"/>
        </w:rPr>
        <w:t>（征求意见稿）</w:t>
      </w:r>
    </w:p>
    <w:p w14:paraId="58380296" w14:textId="77777777" w:rsidR="00FE075B" w:rsidRPr="00C12E90" w:rsidRDefault="00FE075B" w:rsidP="00FE075B">
      <w:pPr>
        <w:widowControl/>
        <w:spacing w:line="360" w:lineRule="auto"/>
        <w:jc w:val="center"/>
        <w:rPr>
          <w:rFonts w:ascii="方正小标宋简体" w:eastAsia="方正小标宋简体" w:hAnsi="宋体" w:cs="Times New Roman"/>
          <w:spacing w:val="-8"/>
          <w:sz w:val="40"/>
          <w:szCs w:val="44"/>
        </w:rPr>
      </w:pPr>
      <w:r w:rsidRPr="00C12E90">
        <w:rPr>
          <w:rFonts w:ascii="方正小标宋简体" w:eastAsia="方正小标宋简体" w:hAnsi="宋体" w:cs="Times New Roman" w:hint="eastAsia"/>
          <w:spacing w:val="-8"/>
          <w:sz w:val="40"/>
          <w:szCs w:val="44"/>
        </w:rPr>
        <w:t>起草</w:t>
      </w:r>
      <w:r w:rsidRPr="00C12E90">
        <w:rPr>
          <w:rFonts w:ascii="方正小标宋简体" w:eastAsia="方正小标宋简体" w:hAnsi="宋体" w:cs="Times New Roman"/>
          <w:spacing w:val="-8"/>
          <w:sz w:val="40"/>
          <w:szCs w:val="44"/>
        </w:rPr>
        <w:t>说明</w:t>
      </w:r>
    </w:p>
    <w:p w14:paraId="77C81B97" w14:textId="77777777" w:rsidR="00FE075B" w:rsidRPr="00C12E90" w:rsidRDefault="00FE075B" w:rsidP="00FE075B">
      <w:pPr>
        <w:widowControl/>
        <w:adjustRightInd w:val="0"/>
        <w:snapToGrid w:val="0"/>
        <w:spacing w:line="360" w:lineRule="auto"/>
        <w:rPr>
          <w:rFonts w:ascii="仿宋_GB2312" w:eastAsia="仿宋_GB2312" w:hAnsi="仿宋" w:cs="Times New Roman"/>
          <w:b/>
          <w:spacing w:val="-8"/>
          <w:sz w:val="36"/>
          <w:szCs w:val="44"/>
        </w:rPr>
      </w:pPr>
    </w:p>
    <w:p w14:paraId="52D76DA9" w14:textId="77777777" w:rsidR="00FE075B" w:rsidRPr="00C12E90" w:rsidRDefault="00FE075B" w:rsidP="0051099A">
      <w:pPr>
        <w:widowControl/>
        <w:adjustRightInd w:val="0"/>
        <w:snapToGrid w:val="0"/>
        <w:spacing w:line="360" w:lineRule="auto"/>
        <w:rPr>
          <w:rFonts w:ascii="宋体" w:eastAsia="宋体" w:hAnsi="宋体" w:cs="Times New Roman"/>
          <w:b/>
          <w:spacing w:val="-8"/>
          <w:sz w:val="32"/>
          <w:szCs w:val="44"/>
        </w:rPr>
      </w:pPr>
      <w:r w:rsidRPr="00C12E90">
        <w:rPr>
          <w:rFonts w:ascii="宋体" w:eastAsia="宋体" w:hAnsi="宋体" w:cs="Times New Roman" w:hint="eastAsia"/>
          <w:b/>
          <w:spacing w:val="-8"/>
          <w:sz w:val="32"/>
          <w:szCs w:val="44"/>
        </w:rPr>
        <w:t>一</w:t>
      </w:r>
      <w:r w:rsidRPr="00C12E90">
        <w:rPr>
          <w:rFonts w:ascii="宋体" w:eastAsia="宋体" w:hAnsi="宋体" w:cs="Times New Roman"/>
          <w:b/>
          <w:spacing w:val="-8"/>
          <w:sz w:val="32"/>
          <w:szCs w:val="44"/>
        </w:rPr>
        <w:t>、起草</w:t>
      </w:r>
      <w:r w:rsidRPr="00C12E90">
        <w:rPr>
          <w:rFonts w:ascii="宋体" w:eastAsia="宋体" w:hAnsi="宋体" w:cs="Times New Roman" w:hint="eastAsia"/>
          <w:b/>
          <w:spacing w:val="-8"/>
          <w:sz w:val="32"/>
          <w:szCs w:val="44"/>
        </w:rPr>
        <w:t>背景</w:t>
      </w:r>
    </w:p>
    <w:p w14:paraId="2D96C556" w14:textId="77777777" w:rsidR="00937C9B" w:rsidRPr="00C12E90" w:rsidRDefault="001A03FB" w:rsidP="00FE075B">
      <w:pPr>
        <w:widowControl/>
        <w:adjustRightInd w:val="0"/>
        <w:snapToGrid w:val="0"/>
        <w:spacing w:line="360" w:lineRule="auto"/>
        <w:ind w:firstLineChars="200" w:firstLine="640"/>
        <w:rPr>
          <w:rFonts w:eastAsia="仿宋_GB2312" w:cs="Times New Roman"/>
          <w:sz w:val="32"/>
          <w:szCs w:val="32"/>
        </w:rPr>
      </w:pPr>
      <w:r w:rsidRPr="00C12E90">
        <w:rPr>
          <w:rFonts w:eastAsia="仿宋_GB2312" w:cs="Times New Roman" w:hint="eastAsia"/>
          <w:sz w:val="32"/>
          <w:szCs w:val="32"/>
        </w:rPr>
        <w:t>特殊注射剂由于制剂特性复杂，产品开发和</w:t>
      </w:r>
      <w:r w:rsidRPr="00C12E90">
        <w:rPr>
          <w:rFonts w:eastAsia="仿宋_GB2312" w:cs="Times New Roman"/>
          <w:sz w:val="32"/>
          <w:szCs w:val="32"/>
        </w:rPr>
        <w:t>审评的关注点与要求</w:t>
      </w:r>
      <w:r w:rsidRPr="00C12E90">
        <w:rPr>
          <w:rFonts w:eastAsia="仿宋_GB2312" w:cs="Times New Roman" w:hint="eastAsia"/>
          <w:sz w:val="32"/>
          <w:szCs w:val="32"/>
        </w:rPr>
        <w:t>需要具体</w:t>
      </w:r>
      <w:r w:rsidRPr="00C12E90">
        <w:rPr>
          <w:rFonts w:eastAsia="仿宋_GB2312" w:cs="Times New Roman"/>
          <w:sz w:val="32"/>
          <w:szCs w:val="32"/>
        </w:rPr>
        <w:t>品种</w:t>
      </w:r>
      <w:r w:rsidRPr="00C12E90">
        <w:rPr>
          <w:rFonts w:eastAsia="仿宋_GB2312" w:cs="Times New Roman" w:hint="eastAsia"/>
          <w:sz w:val="32"/>
          <w:szCs w:val="32"/>
        </w:rPr>
        <w:t>个性化考虑。</w:t>
      </w:r>
      <w:r w:rsidRPr="00C12E90">
        <w:rPr>
          <w:rFonts w:eastAsia="仿宋_GB2312" w:cs="Times New Roman"/>
          <w:sz w:val="32"/>
          <w:szCs w:val="32"/>
        </w:rPr>
        <w:t>因此</w:t>
      </w:r>
      <w:r w:rsidRPr="00C12E90">
        <w:rPr>
          <w:rFonts w:eastAsia="仿宋_GB2312" w:cs="Times New Roman" w:hint="eastAsia"/>
          <w:sz w:val="32"/>
          <w:szCs w:val="32"/>
        </w:rPr>
        <w:t>为每个</w:t>
      </w:r>
      <w:r w:rsidRPr="00C12E90">
        <w:rPr>
          <w:rFonts w:eastAsia="仿宋_GB2312" w:cs="Times New Roman"/>
          <w:sz w:val="32"/>
          <w:szCs w:val="32"/>
        </w:rPr>
        <w:t>品种</w:t>
      </w:r>
      <w:r w:rsidRPr="00C12E90">
        <w:rPr>
          <w:rFonts w:eastAsia="仿宋_GB2312" w:cs="Times New Roman" w:hint="eastAsia"/>
          <w:sz w:val="32"/>
          <w:szCs w:val="32"/>
        </w:rPr>
        <w:t>建立</w:t>
      </w:r>
      <w:r w:rsidRPr="00C12E90">
        <w:rPr>
          <w:rFonts w:eastAsia="仿宋_GB2312" w:cs="Times New Roman"/>
          <w:sz w:val="32"/>
          <w:szCs w:val="32"/>
        </w:rPr>
        <w:t>相应的</w:t>
      </w:r>
      <w:r w:rsidRPr="00C12E90">
        <w:rPr>
          <w:rFonts w:eastAsia="仿宋_GB2312" w:cs="Times New Roman" w:hint="eastAsia"/>
          <w:sz w:val="32"/>
          <w:szCs w:val="32"/>
        </w:rPr>
        <w:t>指导原则能够更</w:t>
      </w:r>
      <w:r w:rsidRPr="00C12E90">
        <w:rPr>
          <w:rFonts w:eastAsia="仿宋_GB2312" w:cs="Times New Roman"/>
          <w:sz w:val="32"/>
          <w:szCs w:val="32"/>
        </w:rPr>
        <w:t>有</w:t>
      </w:r>
      <w:r w:rsidRPr="00C12E90">
        <w:rPr>
          <w:rFonts w:eastAsia="仿宋_GB2312" w:cs="Times New Roman" w:hint="eastAsia"/>
          <w:sz w:val="32"/>
          <w:szCs w:val="32"/>
        </w:rPr>
        <w:t>效的</w:t>
      </w:r>
      <w:r w:rsidRPr="00C12E90">
        <w:rPr>
          <w:rFonts w:eastAsia="仿宋_GB2312" w:cs="Times New Roman"/>
          <w:sz w:val="32"/>
          <w:szCs w:val="32"/>
        </w:rPr>
        <w:t>指导仿制药的</w:t>
      </w:r>
      <w:r w:rsidRPr="00C12E90">
        <w:rPr>
          <w:rFonts w:eastAsia="仿宋_GB2312" w:cs="Times New Roman" w:hint="eastAsia"/>
          <w:sz w:val="32"/>
          <w:szCs w:val="32"/>
        </w:rPr>
        <w:t>研发，</w:t>
      </w:r>
      <w:r w:rsidRPr="00C12E90">
        <w:rPr>
          <w:rFonts w:eastAsia="仿宋_GB2312" w:cs="Times New Roman"/>
          <w:sz w:val="32"/>
          <w:szCs w:val="32"/>
        </w:rPr>
        <w:t>加</w:t>
      </w:r>
      <w:r w:rsidRPr="00C12E90">
        <w:rPr>
          <w:rFonts w:eastAsia="仿宋_GB2312" w:cs="Times New Roman" w:hint="eastAsia"/>
          <w:sz w:val="32"/>
          <w:szCs w:val="32"/>
        </w:rPr>
        <w:t>快</w:t>
      </w:r>
      <w:r w:rsidRPr="00C12E90">
        <w:rPr>
          <w:rFonts w:eastAsia="仿宋_GB2312" w:cs="Times New Roman"/>
          <w:sz w:val="32"/>
          <w:szCs w:val="32"/>
        </w:rPr>
        <w:t>仿制药的批准上市</w:t>
      </w:r>
      <w:r w:rsidR="00937C9B" w:rsidRPr="00C12E90">
        <w:rPr>
          <w:rFonts w:eastAsia="仿宋_GB2312" w:cs="Times New Roman" w:hint="eastAsia"/>
          <w:sz w:val="32"/>
          <w:szCs w:val="32"/>
        </w:rPr>
        <w:t>和</w:t>
      </w:r>
      <w:r w:rsidR="00937C9B" w:rsidRPr="00C12E90">
        <w:rPr>
          <w:rFonts w:eastAsia="仿宋_GB2312" w:cs="Times New Roman"/>
          <w:sz w:val="32"/>
          <w:szCs w:val="32"/>
        </w:rPr>
        <w:t>一致性评价</w:t>
      </w:r>
      <w:r w:rsidR="00937C9B" w:rsidRPr="00C12E90">
        <w:rPr>
          <w:rFonts w:eastAsia="仿宋_GB2312" w:cs="Times New Roman" w:hint="eastAsia"/>
          <w:sz w:val="32"/>
          <w:szCs w:val="32"/>
        </w:rPr>
        <w:t>工作</w:t>
      </w:r>
      <w:r w:rsidRPr="00C12E90">
        <w:rPr>
          <w:rFonts w:eastAsia="仿宋_GB2312" w:cs="Times New Roman"/>
          <w:sz w:val="32"/>
          <w:szCs w:val="32"/>
        </w:rPr>
        <w:t>。</w:t>
      </w:r>
    </w:p>
    <w:p w14:paraId="0C1D3F06" w14:textId="67006297" w:rsidR="00FE075B" w:rsidRPr="00C12E90" w:rsidRDefault="00937C9B" w:rsidP="00FE075B">
      <w:pPr>
        <w:widowControl/>
        <w:adjustRightInd w:val="0"/>
        <w:snapToGrid w:val="0"/>
        <w:spacing w:line="360" w:lineRule="auto"/>
        <w:ind w:firstLineChars="200" w:firstLine="640"/>
        <w:rPr>
          <w:rFonts w:eastAsia="仿宋_GB2312" w:cs="Times New Roman"/>
          <w:sz w:val="32"/>
          <w:szCs w:val="32"/>
        </w:rPr>
      </w:pPr>
      <w:r w:rsidRPr="00C12E90">
        <w:rPr>
          <w:rFonts w:ascii="仿宋_GB2312" w:eastAsia="仿宋_GB2312" w:cs="Times New Roman" w:hint="eastAsia"/>
          <w:bCs/>
          <w:kern w:val="44"/>
          <w:sz w:val="32"/>
          <w:szCs w:val="32"/>
        </w:rPr>
        <w:t>盐酸多柔比星脂质体注射液是采用</w:t>
      </w:r>
      <w:r w:rsidRPr="00C12E90">
        <w:rPr>
          <w:rFonts w:ascii="仿宋_GB2312" w:eastAsia="仿宋_GB2312" w:cs="Times New Roman"/>
          <w:bCs/>
          <w:kern w:val="44"/>
          <w:sz w:val="32"/>
          <w:szCs w:val="32"/>
        </w:rPr>
        <w:t>硫酸铵梯度法将盐酸多柔比星包裹于</w:t>
      </w:r>
      <w:r w:rsidRPr="00C12E90">
        <w:rPr>
          <w:rFonts w:ascii="仿宋_GB2312" w:eastAsia="仿宋_GB2312" w:cs="Times New Roman" w:hint="eastAsia"/>
          <w:bCs/>
          <w:kern w:val="44"/>
          <w:sz w:val="32"/>
          <w:szCs w:val="32"/>
        </w:rPr>
        <w:t>P</w:t>
      </w:r>
      <w:r w:rsidRPr="00C12E90">
        <w:rPr>
          <w:rFonts w:ascii="仿宋_GB2312" w:eastAsia="仿宋_GB2312" w:cs="Times New Roman"/>
          <w:bCs/>
          <w:kern w:val="44"/>
          <w:sz w:val="32"/>
          <w:szCs w:val="32"/>
        </w:rPr>
        <w:t>EG</w:t>
      </w:r>
      <w:r w:rsidRPr="00C12E90">
        <w:rPr>
          <w:rFonts w:ascii="仿宋_GB2312" w:eastAsia="仿宋_GB2312" w:cs="Times New Roman" w:hint="eastAsia"/>
          <w:bCs/>
          <w:kern w:val="44"/>
          <w:sz w:val="32"/>
          <w:szCs w:val="32"/>
        </w:rPr>
        <w:t>化</w:t>
      </w:r>
      <w:r w:rsidRPr="00C12E90">
        <w:rPr>
          <w:rFonts w:ascii="仿宋_GB2312" w:eastAsia="仿宋_GB2312" w:cs="Times New Roman"/>
          <w:bCs/>
          <w:kern w:val="44"/>
          <w:sz w:val="32"/>
          <w:szCs w:val="32"/>
        </w:rPr>
        <w:t>脂质体内形成</w:t>
      </w:r>
      <w:r w:rsidRPr="00C12E90">
        <w:rPr>
          <w:rFonts w:ascii="仿宋_GB2312" w:eastAsia="仿宋_GB2312" w:cs="Times New Roman" w:hint="eastAsia"/>
          <w:bCs/>
          <w:kern w:val="44"/>
          <w:sz w:val="32"/>
          <w:szCs w:val="32"/>
        </w:rPr>
        <w:t>的特殊注射剂</w:t>
      </w:r>
      <w:r w:rsidR="00924274" w:rsidRPr="00C12E90">
        <w:rPr>
          <w:rFonts w:ascii="仿宋_GB2312" w:eastAsia="仿宋_GB2312" w:cs="Times New Roman" w:hint="eastAsia"/>
          <w:bCs/>
          <w:kern w:val="44"/>
          <w:sz w:val="32"/>
          <w:szCs w:val="32"/>
        </w:rPr>
        <w:t>，相</w:t>
      </w:r>
      <w:r w:rsidR="00924274" w:rsidRPr="00C12E90">
        <w:rPr>
          <w:rFonts w:ascii="仿宋_GB2312" w:eastAsia="仿宋_GB2312" w:cs="Times New Roman"/>
          <w:bCs/>
          <w:kern w:val="44"/>
          <w:sz w:val="32"/>
          <w:szCs w:val="32"/>
        </w:rPr>
        <w:t>比</w:t>
      </w:r>
      <w:r w:rsidR="00924274" w:rsidRPr="00C12E90">
        <w:rPr>
          <w:rFonts w:ascii="仿宋_GB2312" w:eastAsia="仿宋_GB2312" w:cs="Times New Roman" w:hint="eastAsia"/>
          <w:bCs/>
          <w:kern w:val="44"/>
          <w:sz w:val="32"/>
          <w:szCs w:val="32"/>
        </w:rPr>
        <w:t>普通</w:t>
      </w:r>
      <w:r w:rsidR="00924274" w:rsidRPr="00C12E90">
        <w:rPr>
          <w:rFonts w:ascii="仿宋_GB2312" w:eastAsia="仿宋_GB2312" w:cs="Times New Roman"/>
          <w:bCs/>
          <w:kern w:val="44"/>
          <w:sz w:val="32"/>
          <w:szCs w:val="32"/>
        </w:rPr>
        <w:t>的多柔比星</w:t>
      </w:r>
      <w:r w:rsidR="00924274" w:rsidRPr="00C12E90">
        <w:rPr>
          <w:rFonts w:ascii="仿宋_GB2312" w:eastAsia="仿宋_GB2312" w:cs="Times New Roman" w:hint="eastAsia"/>
          <w:bCs/>
          <w:kern w:val="44"/>
          <w:sz w:val="32"/>
          <w:szCs w:val="32"/>
        </w:rPr>
        <w:t>注射</w:t>
      </w:r>
      <w:r w:rsidR="00924274" w:rsidRPr="00C12E90">
        <w:rPr>
          <w:rFonts w:ascii="仿宋_GB2312" w:eastAsia="仿宋_GB2312" w:cs="Times New Roman"/>
          <w:bCs/>
          <w:kern w:val="44"/>
          <w:sz w:val="32"/>
          <w:szCs w:val="32"/>
        </w:rPr>
        <w:t>液，</w:t>
      </w:r>
      <w:r w:rsidR="00924274" w:rsidRPr="00C12E90">
        <w:rPr>
          <w:rFonts w:ascii="仿宋_GB2312" w:eastAsia="仿宋_GB2312" w:cs="Times New Roman" w:hint="eastAsia"/>
          <w:bCs/>
          <w:kern w:val="44"/>
          <w:sz w:val="32"/>
          <w:szCs w:val="32"/>
        </w:rPr>
        <w:t>抗肿瘤</w:t>
      </w:r>
      <w:r w:rsidR="00924274" w:rsidRPr="00C12E90">
        <w:rPr>
          <w:rFonts w:ascii="仿宋_GB2312" w:eastAsia="仿宋_GB2312" w:cs="Times New Roman"/>
          <w:bCs/>
          <w:kern w:val="44"/>
          <w:sz w:val="32"/>
          <w:szCs w:val="32"/>
        </w:rPr>
        <w:t>作用增加、</w:t>
      </w:r>
      <w:r w:rsidR="00924274" w:rsidRPr="00C12E90">
        <w:rPr>
          <w:rFonts w:ascii="仿宋_GB2312" w:eastAsia="仿宋_GB2312" w:cs="Times New Roman" w:hint="eastAsia"/>
          <w:bCs/>
          <w:kern w:val="44"/>
          <w:sz w:val="32"/>
          <w:szCs w:val="32"/>
        </w:rPr>
        <w:t>药物</w:t>
      </w:r>
      <w:r w:rsidR="00924274" w:rsidRPr="00C12E90">
        <w:rPr>
          <w:rFonts w:ascii="仿宋_GB2312" w:eastAsia="仿宋_GB2312" w:cs="Times New Roman"/>
          <w:bCs/>
          <w:kern w:val="44"/>
          <w:sz w:val="32"/>
          <w:szCs w:val="32"/>
        </w:rPr>
        <w:t>半衰期延</w:t>
      </w:r>
      <w:r w:rsidR="00924274" w:rsidRPr="00C12E90">
        <w:rPr>
          <w:rFonts w:ascii="仿宋_GB2312" w:eastAsia="仿宋_GB2312" w:cs="Times New Roman" w:hint="eastAsia"/>
          <w:bCs/>
          <w:kern w:val="44"/>
          <w:sz w:val="32"/>
          <w:szCs w:val="32"/>
        </w:rPr>
        <w:t>长</w:t>
      </w:r>
      <w:r w:rsidR="00924274" w:rsidRPr="00C12E90">
        <w:rPr>
          <w:rFonts w:ascii="仿宋_GB2312" w:eastAsia="仿宋_GB2312" w:cs="Times New Roman"/>
          <w:bCs/>
          <w:kern w:val="44"/>
          <w:sz w:val="32"/>
          <w:szCs w:val="32"/>
        </w:rPr>
        <w:t>、</w:t>
      </w:r>
      <w:r w:rsidR="00924274" w:rsidRPr="00C12E90">
        <w:rPr>
          <w:rFonts w:ascii="仿宋_GB2312" w:eastAsia="仿宋_GB2312" w:cs="Times New Roman" w:hint="eastAsia"/>
          <w:bCs/>
          <w:kern w:val="44"/>
          <w:sz w:val="32"/>
          <w:szCs w:val="32"/>
        </w:rPr>
        <w:t>心脏</w:t>
      </w:r>
      <w:r w:rsidR="00924274" w:rsidRPr="00C12E90">
        <w:rPr>
          <w:rFonts w:ascii="仿宋_GB2312" w:eastAsia="仿宋_GB2312" w:cs="Times New Roman"/>
          <w:bCs/>
          <w:kern w:val="44"/>
          <w:sz w:val="32"/>
          <w:szCs w:val="32"/>
        </w:rPr>
        <w:t>毒性降低。</w:t>
      </w:r>
      <w:r w:rsidR="00924274" w:rsidRPr="00C12E90">
        <w:rPr>
          <w:rFonts w:ascii="仿宋_GB2312" w:eastAsia="仿宋_GB2312" w:cs="Times New Roman" w:hint="eastAsia"/>
          <w:bCs/>
          <w:kern w:val="44"/>
          <w:sz w:val="32"/>
          <w:szCs w:val="32"/>
        </w:rPr>
        <w:t>目前</w:t>
      </w:r>
      <w:r w:rsidR="00924274" w:rsidRPr="00C12E90">
        <w:rPr>
          <w:rFonts w:ascii="仿宋_GB2312" w:eastAsia="仿宋_GB2312" w:cs="Times New Roman"/>
          <w:bCs/>
          <w:kern w:val="44"/>
          <w:sz w:val="32"/>
          <w:szCs w:val="32"/>
        </w:rPr>
        <w:t>国内已</w:t>
      </w:r>
      <w:r w:rsidR="00924274" w:rsidRPr="00C12E90">
        <w:rPr>
          <w:rFonts w:ascii="仿宋_GB2312" w:eastAsia="仿宋_GB2312" w:cs="Times New Roman" w:hint="eastAsia"/>
          <w:bCs/>
          <w:kern w:val="44"/>
          <w:sz w:val="32"/>
          <w:szCs w:val="32"/>
        </w:rPr>
        <w:t>有</w:t>
      </w:r>
      <w:r w:rsidR="00924274" w:rsidRPr="00C12E90">
        <w:rPr>
          <w:rFonts w:ascii="仿宋_GB2312" w:eastAsia="仿宋_GB2312" w:cs="Times New Roman"/>
          <w:bCs/>
          <w:kern w:val="44"/>
          <w:sz w:val="32"/>
          <w:szCs w:val="32"/>
        </w:rPr>
        <w:t>三家仿制药</w:t>
      </w:r>
      <w:r w:rsidR="00924274" w:rsidRPr="00C12E90">
        <w:rPr>
          <w:rFonts w:ascii="仿宋_GB2312" w:eastAsia="仿宋_GB2312" w:cs="Times New Roman" w:hint="eastAsia"/>
          <w:bCs/>
          <w:kern w:val="44"/>
          <w:sz w:val="32"/>
          <w:szCs w:val="32"/>
        </w:rPr>
        <w:t>批准上市。</w:t>
      </w:r>
    </w:p>
    <w:p w14:paraId="5907874B" w14:textId="77777777" w:rsidR="00FE075B" w:rsidRPr="0051099A" w:rsidRDefault="00FE075B" w:rsidP="0051099A">
      <w:pPr>
        <w:widowControl/>
        <w:adjustRightInd w:val="0"/>
        <w:snapToGrid w:val="0"/>
        <w:spacing w:line="360" w:lineRule="auto"/>
        <w:rPr>
          <w:rFonts w:ascii="宋体" w:eastAsia="宋体" w:hAnsi="宋体" w:cs="Times New Roman"/>
          <w:b/>
          <w:spacing w:val="-8"/>
          <w:sz w:val="32"/>
          <w:szCs w:val="44"/>
        </w:rPr>
      </w:pPr>
      <w:r w:rsidRPr="00C12E90">
        <w:rPr>
          <w:rFonts w:ascii="宋体" w:eastAsia="宋体" w:hAnsi="宋体" w:cs="Times New Roman" w:hint="eastAsia"/>
          <w:b/>
          <w:spacing w:val="-8"/>
          <w:sz w:val="32"/>
          <w:szCs w:val="44"/>
        </w:rPr>
        <w:t>二</w:t>
      </w:r>
      <w:r w:rsidRPr="00C12E90">
        <w:rPr>
          <w:rFonts w:ascii="宋体" w:eastAsia="宋体" w:hAnsi="宋体" w:cs="Times New Roman"/>
          <w:b/>
          <w:spacing w:val="-8"/>
          <w:sz w:val="32"/>
          <w:szCs w:val="44"/>
        </w:rPr>
        <w:t>、起草内容与说明</w:t>
      </w:r>
    </w:p>
    <w:p w14:paraId="10DE3858" w14:textId="7EFAFB6C" w:rsidR="00FE075B" w:rsidRPr="00C12E90" w:rsidRDefault="00FE075B" w:rsidP="00FE075B">
      <w:pPr>
        <w:widowControl/>
        <w:adjustRightInd w:val="0"/>
        <w:snapToGrid w:val="0"/>
        <w:spacing w:line="360" w:lineRule="auto"/>
        <w:ind w:firstLineChars="200" w:firstLine="640"/>
        <w:rPr>
          <w:rFonts w:eastAsia="仿宋_GB2312" w:cs="Times New Roman"/>
          <w:sz w:val="32"/>
          <w:szCs w:val="32"/>
        </w:rPr>
      </w:pPr>
      <w:r w:rsidRPr="00C12E90">
        <w:rPr>
          <w:rFonts w:eastAsia="仿宋_GB2312" w:cs="Times New Roman" w:hint="eastAsia"/>
          <w:sz w:val="32"/>
          <w:szCs w:val="32"/>
        </w:rPr>
        <w:t>概述部分，</w:t>
      </w:r>
      <w:r w:rsidR="00501021" w:rsidRPr="00C12E90">
        <w:rPr>
          <w:rFonts w:eastAsia="仿宋_GB2312" w:cs="Times New Roman" w:hint="eastAsia"/>
          <w:sz w:val="32"/>
          <w:szCs w:val="32"/>
        </w:rPr>
        <w:t>说明</w:t>
      </w:r>
      <w:r w:rsidRPr="00C12E90">
        <w:rPr>
          <w:rFonts w:eastAsia="仿宋_GB2312" w:cs="Times New Roman" w:hint="eastAsia"/>
          <w:sz w:val="32"/>
          <w:szCs w:val="32"/>
        </w:rPr>
        <w:t>制剂的剂型特点，</w:t>
      </w:r>
      <w:r w:rsidR="00501021" w:rsidRPr="00C12E90">
        <w:rPr>
          <w:rFonts w:eastAsia="仿宋_GB2312" w:cs="Times New Roman" w:hint="eastAsia"/>
          <w:sz w:val="32"/>
          <w:szCs w:val="32"/>
        </w:rPr>
        <w:t>确立了本品作为仿制药需要进行研究的基本方面，同时强调了本指导原则仅代表药品监管部门目前对于本品的观点和认识</w:t>
      </w:r>
      <w:r w:rsidRPr="00C12E90">
        <w:rPr>
          <w:rFonts w:eastAsia="仿宋_GB2312" w:cs="Times New Roman" w:hint="eastAsia"/>
          <w:sz w:val="32"/>
          <w:szCs w:val="32"/>
        </w:rPr>
        <w:t>。</w:t>
      </w:r>
    </w:p>
    <w:p w14:paraId="5FFDCF12" w14:textId="77777777" w:rsidR="00501021" w:rsidRPr="00C12E90" w:rsidRDefault="00501021" w:rsidP="00501021">
      <w:pPr>
        <w:widowControl/>
        <w:adjustRightInd w:val="0"/>
        <w:snapToGrid w:val="0"/>
        <w:spacing w:line="360" w:lineRule="auto"/>
        <w:ind w:firstLineChars="200" w:firstLine="640"/>
        <w:rPr>
          <w:rFonts w:eastAsia="仿宋_GB2312" w:cs="Times New Roman"/>
          <w:sz w:val="32"/>
          <w:szCs w:val="32"/>
        </w:rPr>
      </w:pPr>
      <w:r w:rsidRPr="00C12E90">
        <w:rPr>
          <w:rFonts w:eastAsia="仿宋_GB2312" w:cs="Times New Roman" w:hint="eastAsia"/>
          <w:sz w:val="32"/>
          <w:szCs w:val="32"/>
        </w:rPr>
        <w:t>整体研究思路部分，首先强调参比制剂确定的重要性。其次，结合本品特殊注射剂的特点提出研究需采用“逐步递进的对比研究策略”，即药学与非临床研究先行，而后进行生物等效性研究或临床研究，符合国内外药物研发的思路与要求。最后再次申明仿制药研究需符合相关法规及技术要求。</w:t>
      </w:r>
    </w:p>
    <w:p w14:paraId="5F8267AC" w14:textId="5EA3956E" w:rsidR="00FE075B" w:rsidRPr="00C12E90" w:rsidRDefault="00501021" w:rsidP="00FE075B">
      <w:pPr>
        <w:widowControl/>
        <w:adjustRightInd w:val="0"/>
        <w:snapToGrid w:val="0"/>
        <w:spacing w:line="360" w:lineRule="auto"/>
        <w:ind w:firstLineChars="200" w:firstLine="640"/>
        <w:rPr>
          <w:rFonts w:eastAsia="仿宋_GB2312" w:cs="Times New Roman"/>
          <w:sz w:val="32"/>
          <w:szCs w:val="32"/>
        </w:rPr>
      </w:pPr>
      <w:r w:rsidRPr="00C12E90">
        <w:rPr>
          <w:rFonts w:eastAsia="仿宋_GB2312" w:cs="Times New Roman" w:hint="eastAsia"/>
          <w:sz w:val="32"/>
          <w:szCs w:val="32"/>
        </w:rPr>
        <w:lastRenderedPageBreak/>
        <w:t>研究要求部分包括药学研究、非临床研究和生物等效性研究三部分。</w:t>
      </w:r>
    </w:p>
    <w:p w14:paraId="28D02241" w14:textId="77777777" w:rsidR="00FE075B" w:rsidRPr="00C12E90" w:rsidRDefault="00FE075B" w:rsidP="00FE075B">
      <w:pPr>
        <w:widowControl/>
        <w:adjustRightInd w:val="0"/>
        <w:snapToGrid w:val="0"/>
        <w:spacing w:line="360" w:lineRule="auto"/>
        <w:ind w:firstLineChars="200" w:firstLine="640"/>
        <w:rPr>
          <w:rFonts w:eastAsia="仿宋_GB2312" w:cs="Times New Roman"/>
          <w:sz w:val="32"/>
          <w:szCs w:val="32"/>
        </w:rPr>
      </w:pPr>
      <w:r w:rsidRPr="00C12E90">
        <w:rPr>
          <w:rFonts w:eastAsia="仿宋_GB2312" w:cs="Times New Roman" w:hint="eastAsia"/>
          <w:sz w:val="32"/>
          <w:szCs w:val="32"/>
        </w:rPr>
        <w:t>1</w:t>
      </w:r>
      <w:r w:rsidRPr="00C12E90">
        <w:rPr>
          <w:rFonts w:eastAsia="仿宋_GB2312" w:cs="Times New Roman" w:hint="eastAsia"/>
          <w:sz w:val="32"/>
          <w:szCs w:val="32"/>
        </w:rPr>
        <w:t>、药学研究：</w:t>
      </w:r>
    </w:p>
    <w:p w14:paraId="53BED940" w14:textId="32AD72B0" w:rsidR="00FE075B" w:rsidRPr="00C12E90" w:rsidRDefault="00501021" w:rsidP="00FE075B">
      <w:pPr>
        <w:widowControl/>
        <w:adjustRightInd w:val="0"/>
        <w:snapToGrid w:val="0"/>
        <w:spacing w:line="360" w:lineRule="auto"/>
        <w:ind w:firstLineChars="200" w:firstLine="640"/>
        <w:rPr>
          <w:rFonts w:ascii="仿宋_GB2312" w:eastAsia="仿宋_GB2312" w:hAnsi="宋体" w:cs="Times New Roman"/>
          <w:sz w:val="32"/>
          <w:szCs w:val="32"/>
        </w:rPr>
      </w:pPr>
      <w:r w:rsidRPr="00C12E90">
        <w:rPr>
          <w:rFonts w:eastAsia="仿宋_GB2312" w:cs="Times New Roman" w:hint="eastAsia"/>
          <w:sz w:val="32"/>
          <w:szCs w:val="32"/>
        </w:rPr>
        <w:t>处方部分同各国注射剂仿制药的基本要求一致，</w:t>
      </w:r>
      <w:r w:rsidR="007523C9" w:rsidRPr="00C12E90">
        <w:rPr>
          <w:rFonts w:eastAsia="仿宋_GB2312" w:cs="Times New Roman" w:hint="eastAsia"/>
          <w:sz w:val="32"/>
          <w:szCs w:val="32"/>
        </w:rPr>
        <w:t>明确</w:t>
      </w:r>
      <w:r w:rsidRPr="00C12E90">
        <w:rPr>
          <w:rFonts w:eastAsia="仿宋_GB2312" w:cs="Times New Roman" w:hint="eastAsia"/>
          <w:sz w:val="32"/>
          <w:szCs w:val="32"/>
        </w:rPr>
        <w:t>关键脂</w:t>
      </w:r>
      <w:r w:rsidRPr="00C12E90">
        <w:rPr>
          <w:rFonts w:eastAsia="仿宋_GB2312" w:cs="Times New Roman"/>
          <w:sz w:val="32"/>
          <w:szCs w:val="32"/>
        </w:rPr>
        <w:t>质</w:t>
      </w:r>
      <w:r w:rsidRPr="00C12E90">
        <w:rPr>
          <w:rFonts w:eastAsia="仿宋_GB2312" w:cs="Times New Roman" w:hint="eastAsia"/>
          <w:sz w:val="32"/>
          <w:szCs w:val="32"/>
        </w:rPr>
        <w:t>辅料应按</w:t>
      </w:r>
      <w:r w:rsidRPr="00C12E90">
        <w:rPr>
          <w:rFonts w:eastAsia="仿宋_GB2312" w:cs="Times New Roman"/>
          <w:sz w:val="32"/>
          <w:szCs w:val="32"/>
        </w:rPr>
        <w:t>关联审评审批相关要求提供研究资料，并制定</w:t>
      </w:r>
      <w:r w:rsidRPr="00C12E90">
        <w:rPr>
          <w:rFonts w:eastAsia="仿宋_GB2312" w:cs="Times New Roman" w:hint="eastAsia"/>
          <w:sz w:val="32"/>
          <w:szCs w:val="32"/>
        </w:rPr>
        <w:t>合理</w:t>
      </w:r>
      <w:r w:rsidRPr="00C12E90">
        <w:rPr>
          <w:rFonts w:eastAsia="仿宋_GB2312" w:cs="Times New Roman"/>
          <w:sz w:val="32"/>
          <w:szCs w:val="32"/>
        </w:rPr>
        <w:t>的内</w:t>
      </w:r>
      <w:r w:rsidRPr="00C12E90">
        <w:rPr>
          <w:rFonts w:eastAsia="仿宋_GB2312" w:cs="Times New Roman" w:hint="eastAsia"/>
          <w:sz w:val="32"/>
          <w:szCs w:val="32"/>
        </w:rPr>
        <w:t>控</w:t>
      </w:r>
      <w:r w:rsidRPr="00C12E90">
        <w:rPr>
          <w:rFonts w:eastAsia="仿宋_GB2312" w:cs="Times New Roman"/>
          <w:sz w:val="32"/>
          <w:szCs w:val="32"/>
        </w:rPr>
        <w:t>标准，</w:t>
      </w:r>
      <w:r w:rsidRPr="00C12E90">
        <w:rPr>
          <w:rFonts w:eastAsia="仿宋_GB2312" w:cs="Times New Roman" w:hint="eastAsia"/>
          <w:sz w:val="32"/>
          <w:szCs w:val="32"/>
        </w:rPr>
        <w:t>强调</w:t>
      </w:r>
      <w:r w:rsidRPr="00C12E90">
        <w:rPr>
          <w:rFonts w:eastAsia="仿宋_GB2312" w:cs="Times New Roman"/>
          <w:sz w:val="32"/>
          <w:szCs w:val="32"/>
        </w:rPr>
        <w:t>与</w:t>
      </w:r>
      <w:r w:rsidR="00FE075B" w:rsidRPr="00C12E90">
        <w:rPr>
          <w:rFonts w:ascii="仿宋_GB2312" w:eastAsia="仿宋_GB2312" w:hAnsi="宋体" w:cs="Times New Roman" w:hint="eastAsia"/>
          <w:sz w:val="32"/>
          <w:szCs w:val="32"/>
        </w:rPr>
        <w:t>参比制剂</w:t>
      </w:r>
      <w:r w:rsidRPr="00C12E90">
        <w:rPr>
          <w:rFonts w:ascii="仿宋_GB2312" w:eastAsia="仿宋_GB2312" w:hAnsi="宋体" w:cs="Times New Roman" w:hint="eastAsia"/>
          <w:sz w:val="32"/>
          <w:szCs w:val="32"/>
        </w:rPr>
        <w:t>脂</w:t>
      </w:r>
      <w:r w:rsidRPr="00C12E90">
        <w:rPr>
          <w:rFonts w:ascii="仿宋_GB2312" w:eastAsia="仿宋_GB2312" w:hAnsi="宋体" w:cs="Times New Roman"/>
          <w:sz w:val="32"/>
          <w:szCs w:val="32"/>
        </w:rPr>
        <w:t>质辅料进行对比研究，包括各组</w:t>
      </w:r>
      <w:r w:rsidRPr="00C12E90">
        <w:rPr>
          <w:rFonts w:ascii="仿宋_GB2312" w:eastAsia="仿宋_GB2312" w:hAnsi="宋体" w:cs="Times New Roman" w:hint="eastAsia"/>
          <w:sz w:val="32"/>
          <w:szCs w:val="32"/>
        </w:rPr>
        <w:t>分</w:t>
      </w:r>
      <w:r w:rsidRPr="00C12E90">
        <w:rPr>
          <w:rFonts w:ascii="仿宋_GB2312" w:eastAsia="仿宋_GB2312" w:hAnsi="宋体" w:cs="Times New Roman"/>
          <w:sz w:val="32"/>
          <w:szCs w:val="32"/>
        </w:rPr>
        <w:t>的比例</w:t>
      </w:r>
      <w:r w:rsidRPr="00C12E90">
        <w:rPr>
          <w:rFonts w:ascii="仿宋_GB2312" w:eastAsia="仿宋_GB2312" w:hAnsi="宋体" w:cs="Times New Roman" w:hint="eastAsia"/>
          <w:sz w:val="32"/>
          <w:szCs w:val="32"/>
        </w:rPr>
        <w:t>等</w:t>
      </w:r>
      <w:r w:rsidRPr="00C12E90">
        <w:rPr>
          <w:rFonts w:ascii="仿宋_GB2312" w:eastAsia="仿宋_GB2312" w:hAnsi="宋体" w:cs="Times New Roman"/>
          <w:sz w:val="32"/>
          <w:szCs w:val="32"/>
        </w:rPr>
        <w:t>均</w:t>
      </w:r>
      <w:r w:rsidRPr="00C12E90">
        <w:rPr>
          <w:rFonts w:ascii="仿宋_GB2312" w:eastAsia="仿宋_GB2312" w:hAnsi="宋体" w:cs="Times New Roman" w:hint="eastAsia"/>
          <w:sz w:val="32"/>
          <w:szCs w:val="32"/>
        </w:rPr>
        <w:t>应</w:t>
      </w:r>
      <w:r w:rsidR="00FE075B" w:rsidRPr="00C12E90">
        <w:rPr>
          <w:rFonts w:ascii="仿宋_GB2312" w:eastAsia="仿宋_GB2312" w:hAnsi="宋体" w:cs="Times New Roman" w:hint="eastAsia"/>
          <w:sz w:val="32"/>
          <w:szCs w:val="32"/>
        </w:rPr>
        <w:t>相似。</w:t>
      </w:r>
    </w:p>
    <w:p w14:paraId="5BA14A95" w14:textId="0C6949FC" w:rsidR="00FE075B" w:rsidRPr="00C12E90" w:rsidRDefault="00FA580C" w:rsidP="00FE075B">
      <w:pPr>
        <w:widowControl/>
        <w:adjustRightInd w:val="0"/>
        <w:snapToGrid w:val="0"/>
        <w:spacing w:line="360" w:lineRule="auto"/>
        <w:ind w:firstLineChars="200" w:firstLine="640"/>
        <w:rPr>
          <w:rFonts w:ascii="仿宋_GB2312" w:eastAsia="仿宋_GB2312" w:hAnsi="宋体" w:cs="Times New Roman"/>
          <w:b/>
          <w:bCs/>
          <w:sz w:val="32"/>
          <w:szCs w:val="32"/>
        </w:rPr>
      </w:pPr>
      <w:r w:rsidRPr="00C12E90">
        <w:rPr>
          <w:rFonts w:ascii="仿宋_GB2312" w:eastAsia="仿宋_GB2312" w:hAnsi="宋体" w:cs="Times New Roman" w:hint="eastAsia"/>
          <w:sz w:val="32"/>
          <w:szCs w:val="32"/>
        </w:rPr>
        <w:t>已知参</w:t>
      </w:r>
      <w:r w:rsidRPr="00C12E90">
        <w:rPr>
          <w:rFonts w:ascii="仿宋_GB2312" w:eastAsia="仿宋_GB2312" w:hAnsi="宋体" w:cs="Times New Roman"/>
          <w:sz w:val="32"/>
          <w:szCs w:val="32"/>
        </w:rPr>
        <w:t>比制剂</w:t>
      </w:r>
      <w:r w:rsidRPr="00C12E90">
        <w:rPr>
          <w:rFonts w:ascii="仿宋_GB2312" w:eastAsia="仿宋_GB2312" w:hAnsi="宋体" w:cs="Times New Roman" w:hint="eastAsia"/>
          <w:sz w:val="32"/>
          <w:szCs w:val="32"/>
        </w:rPr>
        <w:t>采用硫酸铵梯度法</w:t>
      </w:r>
      <w:r w:rsidRPr="00C12E90">
        <w:rPr>
          <w:rFonts w:ascii="仿宋_GB2312" w:eastAsia="仿宋_GB2312" w:hAnsi="宋体" w:cs="Times New Roman"/>
          <w:sz w:val="32"/>
          <w:szCs w:val="32"/>
        </w:rPr>
        <w:t>制备，故在</w:t>
      </w:r>
      <w:r w:rsidR="00FE075B" w:rsidRPr="00C12E90">
        <w:rPr>
          <w:rFonts w:ascii="仿宋_GB2312" w:eastAsia="仿宋_GB2312" w:hAnsi="宋体" w:cs="Times New Roman" w:hint="eastAsia"/>
          <w:sz w:val="32"/>
          <w:szCs w:val="32"/>
        </w:rPr>
        <w:t>制备工艺部分明确必须采用</w:t>
      </w:r>
      <w:r w:rsidRPr="00C12E90">
        <w:rPr>
          <w:rFonts w:ascii="仿宋_GB2312" w:eastAsia="仿宋_GB2312" w:hAnsi="宋体" w:cs="Times New Roman" w:hint="eastAsia"/>
          <w:sz w:val="32"/>
          <w:szCs w:val="32"/>
        </w:rPr>
        <w:t>与</w:t>
      </w:r>
      <w:r w:rsidRPr="00C12E90">
        <w:rPr>
          <w:rFonts w:ascii="仿宋_GB2312" w:eastAsia="仿宋_GB2312" w:hAnsi="宋体" w:cs="Times New Roman"/>
          <w:sz w:val="32"/>
          <w:szCs w:val="32"/>
        </w:rPr>
        <w:t>参比制剂相同的</w:t>
      </w:r>
      <w:r w:rsidRPr="00C12E90">
        <w:rPr>
          <w:rFonts w:ascii="仿宋_GB2312" w:eastAsia="仿宋_GB2312" w:hAnsi="宋体" w:cs="Times New Roman" w:hint="eastAsia"/>
          <w:sz w:val="32"/>
          <w:szCs w:val="32"/>
        </w:rPr>
        <w:t>工艺</w:t>
      </w:r>
      <w:r w:rsidRPr="00C12E90">
        <w:rPr>
          <w:rFonts w:ascii="仿宋_GB2312" w:eastAsia="仿宋_GB2312" w:hAnsi="宋体" w:cs="Times New Roman"/>
          <w:sz w:val="32"/>
          <w:szCs w:val="32"/>
        </w:rPr>
        <w:t>。</w:t>
      </w:r>
      <w:r w:rsidRPr="00C12E90">
        <w:rPr>
          <w:rFonts w:ascii="仿宋_GB2312" w:eastAsia="仿宋_GB2312" w:hAnsi="宋体" w:cs="Times New Roman" w:hint="eastAsia"/>
          <w:sz w:val="32"/>
          <w:szCs w:val="32"/>
        </w:rPr>
        <w:t>由于本品工艺复杂，工艺变更及批量放大可能影响产品质量和疗效，同时根据《化学仿制药注册批生产规模的一般性要求（试行）》，建议注册批和商业批的生产工艺与批量应一致。</w:t>
      </w:r>
    </w:p>
    <w:p w14:paraId="55B72A44" w14:textId="2C9584DE" w:rsidR="00FE075B" w:rsidRPr="00C12E90" w:rsidRDefault="00D00FDC" w:rsidP="00FE075B">
      <w:pPr>
        <w:widowControl/>
        <w:adjustRightInd w:val="0"/>
        <w:snapToGrid w:val="0"/>
        <w:spacing w:line="360" w:lineRule="auto"/>
        <w:ind w:firstLineChars="200" w:firstLine="640"/>
        <w:rPr>
          <w:rFonts w:eastAsia="仿宋_GB2312" w:cs="Times New Roman"/>
          <w:sz w:val="32"/>
          <w:szCs w:val="32"/>
        </w:rPr>
      </w:pPr>
      <w:r w:rsidRPr="00C12E90">
        <w:rPr>
          <w:rFonts w:ascii="仿宋_GB2312" w:eastAsia="仿宋_GB2312" w:hAnsi="宋体" w:cs="Times New Roman" w:hint="eastAsia"/>
          <w:sz w:val="32"/>
          <w:szCs w:val="32"/>
        </w:rPr>
        <w:t>仿制药</w:t>
      </w:r>
      <w:r w:rsidR="00FA580C" w:rsidRPr="00C12E90">
        <w:rPr>
          <w:rFonts w:ascii="仿宋_GB2312" w:eastAsia="仿宋_GB2312" w:hAnsi="宋体" w:cs="Times New Roman" w:hint="eastAsia"/>
          <w:sz w:val="32"/>
          <w:szCs w:val="32"/>
        </w:rPr>
        <w:t>的质量研究应符合注射剂的一般要求，其次参考FDA个药指南等</w:t>
      </w:r>
      <w:r w:rsidR="00FA580C" w:rsidRPr="00C12E90">
        <w:rPr>
          <w:rFonts w:ascii="仿宋_GB2312" w:eastAsia="仿宋_GB2312" w:hAnsi="宋体" w:cs="Times New Roman"/>
          <w:sz w:val="32"/>
          <w:szCs w:val="32"/>
        </w:rPr>
        <w:t>文献</w:t>
      </w:r>
      <w:r w:rsidR="00FA580C" w:rsidRPr="00C12E90">
        <w:rPr>
          <w:rFonts w:ascii="仿宋_GB2312" w:eastAsia="仿宋_GB2312" w:hAnsi="宋体" w:cs="Times New Roman" w:hint="eastAsia"/>
          <w:sz w:val="32"/>
          <w:szCs w:val="32"/>
        </w:rPr>
        <w:t>，建议与参比</w:t>
      </w:r>
      <w:r w:rsidR="00FA580C" w:rsidRPr="00C12E90">
        <w:rPr>
          <w:rFonts w:ascii="仿宋_GB2312" w:eastAsia="仿宋_GB2312" w:hAnsi="宋体" w:cs="Times New Roman"/>
          <w:sz w:val="32"/>
          <w:szCs w:val="32"/>
        </w:rPr>
        <w:t>制剂</w:t>
      </w:r>
      <w:r w:rsidR="00FA580C" w:rsidRPr="00C12E90">
        <w:rPr>
          <w:rFonts w:ascii="仿宋_GB2312" w:eastAsia="仿宋_GB2312" w:hAnsi="宋体" w:cs="Times New Roman" w:hint="eastAsia"/>
          <w:sz w:val="32"/>
          <w:szCs w:val="32"/>
        </w:rPr>
        <w:t>进行微粒特性相关的关键质量属性的对比研究，证明仿制药与参比制剂关键质量属性的一致性。部分关键质量属性下列出了建议的研究方法，并明确了对比研究样品来源和批次的要求。</w:t>
      </w:r>
    </w:p>
    <w:p w14:paraId="6EDD615F" w14:textId="19194961" w:rsidR="00FE075B" w:rsidRPr="00C12E90" w:rsidRDefault="00FA580C" w:rsidP="00FE075B">
      <w:pPr>
        <w:widowControl/>
        <w:adjustRightInd w:val="0"/>
        <w:snapToGrid w:val="0"/>
        <w:spacing w:line="360" w:lineRule="auto"/>
        <w:ind w:firstLineChars="200" w:firstLine="640"/>
        <w:rPr>
          <w:rFonts w:ascii="仿宋_GB2312" w:eastAsia="仿宋_GB2312" w:hAnsi="宋体" w:cs="Times New Roman"/>
          <w:sz w:val="32"/>
          <w:szCs w:val="32"/>
        </w:rPr>
      </w:pPr>
      <w:r w:rsidRPr="00C12E90">
        <w:rPr>
          <w:rFonts w:ascii="仿宋_GB2312" w:eastAsia="仿宋_GB2312" w:hAnsi="宋体" w:cs="Times New Roman" w:hint="eastAsia"/>
          <w:sz w:val="32"/>
          <w:szCs w:val="32"/>
        </w:rPr>
        <w:t>在常规稳定性研究的基础上，根据剂型特点建议增加微粒相关特性的考察，此外还应关注包材相容性的研究。</w:t>
      </w:r>
    </w:p>
    <w:p w14:paraId="160E44C2" w14:textId="40DC05E0" w:rsidR="00FA580C" w:rsidRPr="00C12E90" w:rsidRDefault="00FE075B" w:rsidP="00FE075B">
      <w:pPr>
        <w:widowControl/>
        <w:adjustRightInd w:val="0"/>
        <w:snapToGrid w:val="0"/>
        <w:spacing w:line="360" w:lineRule="auto"/>
        <w:ind w:firstLineChars="200" w:firstLine="640"/>
        <w:rPr>
          <w:rFonts w:eastAsia="仿宋_GB2312" w:cs="Times New Roman"/>
          <w:sz w:val="32"/>
          <w:szCs w:val="32"/>
        </w:rPr>
      </w:pPr>
      <w:r w:rsidRPr="00C12E90">
        <w:rPr>
          <w:rFonts w:eastAsia="仿宋_GB2312" w:cs="Times New Roman" w:hint="eastAsia"/>
          <w:sz w:val="32"/>
          <w:szCs w:val="32"/>
        </w:rPr>
        <w:t>2</w:t>
      </w:r>
      <w:r w:rsidRPr="00C12E90">
        <w:rPr>
          <w:rFonts w:eastAsia="仿宋_GB2312" w:cs="Times New Roman" w:hint="eastAsia"/>
          <w:sz w:val="32"/>
          <w:szCs w:val="32"/>
        </w:rPr>
        <w:t>、非临床研究</w:t>
      </w:r>
      <w:r w:rsidR="00FA580C" w:rsidRPr="00C12E90">
        <w:rPr>
          <w:rFonts w:eastAsia="仿宋_GB2312" w:cs="Times New Roman" w:hint="eastAsia"/>
          <w:sz w:val="32"/>
          <w:szCs w:val="32"/>
        </w:rPr>
        <w:t>：</w:t>
      </w:r>
    </w:p>
    <w:p w14:paraId="3DED5E37" w14:textId="1CA9083C" w:rsidR="00FE075B" w:rsidRPr="00C12E90" w:rsidRDefault="00FE075B" w:rsidP="00FE075B">
      <w:pPr>
        <w:widowControl/>
        <w:adjustRightInd w:val="0"/>
        <w:snapToGrid w:val="0"/>
        <w:spacing w:line="360" w:lineRule="auto"/>
        <w:ind w:firstLineChars="200" w:firstLine="640"/>
        <w:rPr>
          <w:rFonts w:ascii="仿宋_GB2312" w:eastAsia="仿宋_GB2312" w:hAnsi="宋体" w:cs="Times New Roman"/>
          <w:sz w:val="32"/>
          <w:szCs w:val="32"/>
        </w:rPr>
      </w:pPr>
      <w:r w:rsidRPr="00C12E90">
        <w:rPr>
          <w:rFonts w:eastAsia="仿宋_GB2312" w:cs="Times New Roman" w:hint="eastAsia"/>
          <w:sz w:val="32"/>
          <w:szCs w:val="32"/>
        </w:rPr>
        <w:t>本</w:t>
      </w:r>
      <w:r w:rsidR="00FA580C" w:rsidRPr="00C12E90">
        <w:rPr>
          <w:rFonts w:eastAsia="仿宋_GB2312" w:cs="Times New Roman" w:hint="eastAsia"/>
          <w:sz w:val="32"/>
          <w:szCs w:val="32"/>
        </w:rPr>
        <w:t>指导原则</w:t>
      </w:r>
      <w:r w:rsidRPr="00C12E90">
        <w:rPr>
          <w:rFonts w:eastAsia="仿宋_GB2312" w:cs="Times New Roman" w:hint="eastAsia"/>
          <w:sz w:val="32"/>
          <w:szCs w:val="32"/>
        </w:rPr>
        <w:t>中非临床研究内容参考《已上市化学仿制药（特殊注射剂）一致性评价技术要求》（</w:t>
      </w:r>
      <w:r w:rsidRPr="00C12E90">
        <w:rPr>
          <w:rFonts w:eastAsia="仿宋_GB2312" w:cs="Times New Roman"/>
          <w:sz w:val="32"/>
          <w:szCs w:val="32"/>
        </w:rPr>
        <w:t>征求意见稿）</w:t>
      </w:r>
      <w:r w:rsidRPr="00C12E90">
        <w:rPr>
          <w:rFonts w:eastAsia="仿宋_GB2312" w:cs="Times New Roman" w:hint="eastAsia"/>
          <w:sz w:val="32"/>
          <w:szCs w:val="32"/>
        </w:rPr>
        <w:t>，结合</w:t>
      </w:r>
      <w:r w:rsidRPr="00C12E90">
        <w:rPr>
          <w:rFonts w:eastAsia="仿宋_GB2312" w:cs="Times New Roman" w:hint="eastAsia"/>
          <w:sz w:val="32"/>
          <w:szCs w:val="32"/>
        </w:rPr>
        <w:lastRenderedPageBreak/>
        <w:t>本品作用特点给出了具体的考察指标、评价方法以及要求，这是</w:t>
      </w:r>
      <w:r w:rsidRPr="00C12E90">
        <w:rPr>
          <w:rFonts w:eastAsia="仿宋_GB2312" w:cs="Times New Roman"/>
          <w:sz w:val="32"/>
          <w:szCs w:val="32"/>
        </w:rPr>
        <w:t>FDA</w:t>
      </w:r>
      <w:r w:rsidRPr="00C12E90">
        <w:rPr>
          <w:rFonts w:eastAsia="仿宋_GB2312" w:cs="Times New Roman" w:hint="eastAsia"/>
          <w:sz w:val="32"/>
          <w:szCs w:val="32"/>
        </w:rPr>
        <w:t>个药指南所没有的。本</w:t>
      </w:r>
      <w:r w:rsidR="00FA580C" w:rsidRPr="00C12E90">
        <w:rPr>
          <w:rFonts w:eastAsia="仿宋_GB2312" w:cs="Times New Roman" w:hint="eastAsia"/>
          <w:sz w:val="32"/>
          <w:szCs w:val="32"/>
        </w:rPr>
        <w:t>指导原则</w:t>
      </w:r>
      <w:r w:rsidRPr="00C12E90">
        <w:rPr>
          <w:rFonts w:eastAsia="仿宋_GB2312" w:cs="Times New Roman" w:hint="eastAsia"/>
          <w:sz w:val="32"/>
          <w:szCs w:val="32"/>
        </w:rPr>
        <w:t>将其明确提出，可帮助申请人在仿制药进入人体试验前判断其安全性、有效性、与参比制剂的体内行为一致性，为生物等效性试验</w:t>
      </w:r>
      <w:r w:rsidRPr="00C12E90">
        <w:rPr>
          <w:rFonts w:eastAsia="仿宋_GB2312" w:cs="Times New Roman" w:hint="eastAsia"/>
          <w:sz w:val="32"/>
          <w:szCs w:val="32"/>
        </w:rPr>
        <w:t>/</w:t>
      </w:r>
      <w:r w:rsidRPr="00C12E90">
        <w:rPr>
          <w:rFonts w:eastAsia="仿宋_GB2312" w:cs="Times New Roman" w:hint="eastAsia"/>
          <w:sz w:val="32"/>
          <w:szCs w:val="32"/>
        </w:rPr>
        <w:t>临床试验提高把握度并降低安全性风险。</w:t>
      </w:r>
    </w:p>
    <w:p w14:paraId="43DA5A8A" w14:textId="7C6D2D72" w:rsidR="00FA580C" w:rsidRPr="00C12E90" w:rsidRDefault="00FE075B" w:rsidP="00FE075B">
      <w:pPr>
        <w:widowControl/>
        <w:adjustRightInd w:val="0"/>
        <w:snapToGrid w:val="0"/>
        <w:spacing w:line="360" w:lineRule="auto"/>
        <w:ind w:firstLineChars="200" w:firstLine="640"/>
        <w:rPr>
          <w:rFonts w:eastAsia="仿宋_GB2312" w:cs="Times New Roman"/>
          <w:sz w:val="32"/>
          <w:szCs w:val="32"/>
        </w:rPr>
      </w:pPr>
      <w:r w:rsidRPr="00C12E90">
        <w:rPr>
          <w:rFonts w:eastAsia="仿宋_GB2312" w:cs="Times New Roman"/>
          <w:sz w:val="32"/>
          <w:szCs w:val="32"/>
        </w:rPr>
        <w:t>3</w:t>
      </w:r>
      <w:r w:rsidRPr="00C12E90">
        <w:rPr>
          <w:rFonts w:eastAsia="仿宋_GB2312" w:cs="Times New Roman"/>
          <w:sz w:val="32"/>
          <w:szCs w:val="32"/>
        </w:rPr>
        <w:t>、生物等效性研究</w:t>
      </w:r>
      <w:r w:rsidR="00FA580C" w:rsidRPr="00C12E90">
        <w:rPr>
          <w:rFonts w:eastAsia="仿宋_GB2312" w:cs="Times New Roman" w:hint="eastAsia"/>
          <w:sz w:val="32"/>
          <w:szCs w:val="32"/>
        </w:rPr>
        <w:t>：</w:t>
      </w:r>
    </w:p>
    <w:p w14:paraId="4BC4FF4E" w14:textId="77777777" w:rsidR="00243375" w:rsidRDefault="00FA580C" w:rsidP="00FE075B">
      <w:pPr>
        <w:widowControl/>
        <w:adjustRightInd w:val="0"/>
        <w:snapToGrid w:val="0"/>
        <w:spacing w:line="360" w:lineRule="auto"/>
        <w:ind w:firstLineChars="200" w:firstLine="640"/>
        <w:rPr>
          <w:rFonts w:eastAsia="仿宋_GB2312" w:cs="Times New Roman"/>
          <w:sz w:val="32"/>
          <w:szCs w:val="32"/>
        </w:rPr>
      </w:pPr>
      <w:r w:rsidRPr="00C12E90">
        <w:rPr>
          <w:rFonts w:eastAsia="仿宋_GB2312" w:cs="Times New Roman" w:hint="eastAsia"/>
          <w:sz w:val="32"/>
          <w:szCs w:val="32"/>
        </w:rPr>
        <w:t>此</w:t>
      </w:r>
      <w:r w:rsidRPr="00C12E90">
        <w:rPr>
          <w:rFonts w:eastAsia="仿宋_GB2312" w:cs="Times New Roman"/>
          <w:sz w:val="32"/>
          <w:szCs w:val="32"/>
        </w:rPr>
        <w:t>项</w:t>
      </w:r>
      <w:r w:rsidRPr="00C12E90">
        <w:rPr>
          <w:rFonts w:eastAsia="仿宋_GB2312" w:cs="Times New Roman" w:hint="eastAsia"/>
          <w:sz w:val="32"/>
          <w:szCs w:val="32"/>
        </w:rPr>
        <w:t>研究</w:t>
      </w:r>
      <w:r w:rsidR="00FE075B" w:rsidRPr="00C12E90">
        <w:rPr>
          <w:rFonts w:eastAsia="仿宋_GB2312" w:cs="Times New Roman"/>
          <w:sz w:val="32"/>
          <w:szCs w:val="32"/>
        </w:rPr>
        <w:t>是判断仿制药与参比制剂临床等效的关键性研究项目。本</w:t>
      </w:r>
      <w:r w:rsidRPr="00C12E90">
        <w:rPr>
          <w:rFonts w:eastAsia="仿宋_GB2312" w:cs="Times New Roman" w:hint="eastAsia"/>
          <w:sz w:val="32"/>
          <w:szCs w:val="32"/>
        </w:rPr>
        <w:t>指导原则</w:t>
      </w:r>
      <w:r w:rsidR="00FE075B" w:rsidRPr="00C12E90">
        <w:rPr>
          <w:rFonts w:eastAsia="仿宋_GB2312" w:cs="Times New Roman"/>
          <w:sz w:val="32"/>
          <w:szCs w:val="32"/>
        </w:rPr>
        <w:t>以</w:t>
      </w:r>
      <w:r w:rsidR="00FE075B" w:rsidRPr="00C12E90">
        <w:rPr>
          <w:rFonts w:eastAsia="仿宋_GB2312" w:cs="Times New Roman"/>
          <w:sz w:val="32"/>
          <w:szCs w:val="32"/>
        </w:rPr>
        <w:t>FDA</w:t>
      </w:r>
      <w:r w:rsidR="00D00FDC" w:rsidRPr="00C12E90">
        <w:rPr>
          <w:rFonts w:eastAsia="仿宋_GB2312" w:cs="Times New Roman" w:hint="eastAsia"/>
          <w:sz w:val="32"/>
          <w:szCs w:val="32"/>
        </w:rPr>
        <w:t>和</w:t>
      </w:r>
      <w:r w:rsidR="00D00FDC" w:rsidRPr="00C12E90">
        <w:rPr>
          <w:rFonts w:eastAsia="仿宋_GB2312" w:cs="Times New Roman" w:hint="eastAsia"/>
          <w:sz w:val="32"/>
          <w:szCs w:val="32"/>
        </w:rPr>
        <w:t>EMA</w:t>
      </w:r>
      <w:r w:rsidR="00FE075B" w:rsidRPr="00C12E90">
        <w:rPr>
          <w:rFonts w:eastAsia="仿宋_GB2312" w:cs="Times New Roman"/>
          <w:sz w:val="32"/>
          <w:szCs w:val="32"/>
        </w:rPr>
        <w:t>个药指南为基础，结合《以药动学参数为终点评价指标的化学仿制药人体生物等效性研究技术指导原则》和《生物等效性研究的统计学指导原则》等相关国内指导原则，及前期已上市品种的审评经验，推荐了本品仿制药开展生物等效性试验的研究类型、试验设计、受试者要求、试验药品的批次批量要求、待测分析物、生物等效性评价依据（</w:t>
      </w:r>
      <w:r w:rsidR="00FE075B" w:rsidRPr="00C12E90">
        <w:rPr>
          <w:rFonts w:eastAsia="仿宋_GB2312" w:cs="Times New Roman"/>
          <w:sz w:val="32"/>
          <w:szCs w:val="32"/>
        </w:rPr>
        <w:t>90% CI</w:t>
      </w:r>
      <w:r w:rsidR="00FE075B" w:rsidRPr="00C12E90">
        <w:rPr>
          <w:rFonts w:eastAsia="仿宋_GB2312" w:cs="Times New Roman"/>
          <w:sz w:val="32"/>
          <w:szCs w:val="32"/>
        </w:rPr>
        <w:t>）等。</w:t>
      </w:r>
    </w:p>
    <w:p w14:paraId="51B20D5C" w14:textId="77777777" w:rsidR="00243375" w:rsidRDefault="0010532C" w:rsidP="00FE075B">
      <w:pPr>
        <w:widowControl/>
        <w:adjustRightInd w:val="0"/>
        <w:snapToGrid w:val="0"/>
        <w:spacing w:line="360" w:lineRule="auto"/>
        <w:ind w:firstLineChars="200" w:firstLine="640"/>
        <w:rPr>
          <w:rFonts w:eastAsia="仿宋_GB2312" w:cs="Times New Roman"/>
          <w:sz w:val="32"/>
          <w:szCs w:val="32"/>
        </w:rPr>
      </w:pPr>
      <w:r>
        <w:rPr>
          <w:rFonts w:eastAsia="仿宋_GB2312" w:cs="Times New Roman" w:hint="eastAsia"/>
          <w:sz w:val="32"/>
          <w:szCs w:val="32"/>
        </w:rPr>
        <w:t>关于</w:t>
      </w:r>
      <w:r w:rsidR="00D6549B" w:rsidRPr="00C12E90">
        <w:rPr>
          <w:rFonts w:eastAsia="仿宋_GB2312" w:cs="Times New Roman" w:hint="eastAsia"/>
          <w:sz w:val="32"/>
          <w:szCs w:val="32"/>
        </w:rPr>
        <w:t>受试者</w:t>
      </w:r>
      <w:r>
        <w:rPr>
          <w:rFonts w:eastAsia="仿宋_GB2312" w:cs="Times New Roman" w:hint="eastAsia"/>
          <w:sz w:val="32"/>
          <w:szCs w:val="32"/>
        </w:rPr>
        <w:t>的选择，由于</w:t>
      </w:r>
      <w:r>
        <w:rPr>
          <w:rFonts w:eastAsia="仿宋_GB2312" w:cs="Times New Roman"/>
          <w:sz w:val="32"/>
          <w:szCs w:val="32"/>
        </w:rPr>
        <w:t>中国、</w:t>
      </w:r>
      <w:r w:rsidR="00297348">
        <w:rPr>
          <w:rFonts w:eastAsia="仿宋_GB2312" w:cs="Times New Roman" w:hint="eastAsia"/>
          <w:sz w:val="32"/>
          <w:szCs w:val="32"/>
        </w:rPr>
        <w:t>美国和欧盟</w:t>
      </w:r>
      <w:r>
        <w:rPr>
          <w:rFonts w:eastAsia="仿宋_GB2312" w:cs="Times New Roman"/>
          <w:sz w:val="32"/>
          <w:szCs w:val="32"/>
        </w:rPr>
        <w:t>获批的适应症存在差异</w:t>
      </w:r>
      <w:r w:rsidR="00E0141F" w:rsidRPr="00E0141F">
        <w:rPr>
          <w:rFonts w:eastAsia="仿宋_GB2312" w:cs="Times New Roman" w:hint="eastAsia"/>
          <w:sz w:val="32"/>
          <w:szCs w:val="32"/>
          <w:vertAlign w:val="superscript"/>
        </w:rPr>
        <w:t>1</w:t>
      </w:r>
      <w:r w:rsidR="00E0141F">
        <w:rPr>
          <w:rFonts w:eastAsia="仿宋_GB2312" w:cs="Times New Roman" w:hint="eastAsia"/>
          <w:sz w:val="32"/>
          <w:szCs w:val="32"/>
          <w:vertAlign w:val="superscript"/>
        </w:rPr>
        <w:t>,</w:t>
      </w:r>
      <w:r w:rsidR="00E0141F" w:rsidRPr="00E0141F">
        <w:rPr>
          <w:rFonts w:eastAsia="仿宋_GB2312" w:cs="Times New Roman" w:hint="eastAsia"/>
          <w:sz w:val="32"/>
          <w:szCs w:val="32"/>
          <w:vertAlign w:val="superscript"/>
        </w:rPr>
        <w:t>2</w:t>
      </w:r>
      <w:r>
        <w:rPr>
          <w:rFonts w:eastAsia="仿宋_GB2312" w:cs="Times New Roman"/>
          <w:sz w:val="32"/>
          <w:szCs w:val="32"/>
        </w:rPr>
        <w:t>，</w:t>
      </w:r>
      <w:r>
        <w:rPr>
          <w:rFonts w:eastAsia="仿宋_GB2312" w:cs="Times New Roman" w:hint="eastAsia"/>
          <w:sz w:val="32"/>
          <w:szCs w:val="32"/>
        </w:rPr>
        <w:t>FDA</w:t>
      </w:r>
      <w:r>
        <w:rPr>
          <w:rFonts w:eastAsia="仿宋_GB2312" w:cs="Times New Roman" w:hint="eastAsia"/>
          <w:sz w:val="32"/>
          <w:szCs w:val="32"/>
        </w:rPr>
        <w:t>和</w:t>
      </w:r>
      <w:r>
        <w:rPr>
          <w:rFonts w:eastAsia="仿宋_GB2312" w:cs="Times New Roman" w:hint="eastAsia"/>
          <w:sz w:val="32"/>
          <w:szCs w:val="32"/>
        </w:rPr>
        <w:t>EMA</w:t>
      </w:r>
      <w:r>
        <w:rPr>
          <w:rFonts w:eastAsia="仿宋_GB2312" w:cs="Times New Roman" w:hint="eastAsia"/>
          <w:sz w:val="32"/>
          <w:szCs w:val="32"/>
        </w:rPr>
        <w:t>个药</w:t>
      </w:r>
      <w:r>
        <w:rPr>
          <w:rFonts w:eastAsia="仿宋_GB2312" w:cs="Times New Roman"/>
          <w:sz w:val="32"/>
          <w:szCs w:val="32"/>
        </w:rPr>
        <w:t>指南的受试者</w:t>
      </w:r>
      <w:r w:rsidR="004A665B">
        <w:rPr>
          <w:rFonts w:eastAsia="仿宋_GB2312" w:cs="Times New Roman" w:hint="eastAsia"/>
          <w:sz w:val="32"/>
          <w:szCs w:val="32"/>
        </w:rPr>
        <w:t>要求</w:t>
      </w:r>
      <w:r>
        <w:rPr>
          <w:rFonts w:eastAsia="仿宋_GB2312" w:cs="Times New Roman"/>
          <w:sz w:val="32"/>
          <w:szCs w:val="32"/>
        </w:rPr>
        <w:t>存在差异</w:t>
      </w:r>
      <w:r w:rsidR="00E0141F" w:rsidRPr="00E0141F">
        <w:rPr>
          <w:rFonts w:eastAsia="仿宋_GB2312" w:cs="Times New Roman" w:hint="eastAsia"/>
          <w:sz w:val="32"/>
          <w:szCs w:val="32"/>
          <w:vertAlign w:val="superscript"/>
        </w:rPr>
        <w:t>3</w:t>
      </w:r>
      <w:r w:rsidR="00E0141F">
        <w:rPr>
          <w:rFonts w:eastAsia="仿宋_GB2312" w:cs="Times New Roman" w:hint="eastAsia"/>
          <w:sz w:val="32"/>
          <w:szCs w:val="32"/>
          <w:vertAlign w:val="superscript"/>
        </w:rPr>
        <w:t>,</w:t>
      </w:r>
      <w:r w:rsidR="00E0141F" w:rsidRPr="00E0141F">
        <w:rPr>
          <w:rFonts w:eastAsia="仿宋_GB2312" w:cs="Times New Roman"/>
          <w:sz w:val="32"/>
          <w:szCs w:val="32"/>
          <w:vertAlign w:val="superscript"/>
        </w:rPr>
        <w:t>4</w:t>
      </w:r>
      <w:r>
        <w:rPr>
          <w:rFonts w:eastAsia="仿宋_GB2312" w:cs="Times New Roman"/>
          <w:sz w:val="32"/>
          <w:szCs w:val="32"/>
        </w:rPr>
        <w:t>，</w:t>
      </w:r>
      <w:r>
        <w:rPr>
          <w:rFonts w:eastAsia="仿宋_GB2312" w:cs="Times New Roman" w:hint="eastAsia"/>
          <w:sz w:val="32"/>
          <w:szCs w:val="32"/>
        </w:rPr>
        <w:t>考虑</w:t>
      </w:r>
      <w:r>
        <w:rPr>
          <w:rFonts w:eastAsia="仿宋_GB2312" w:cs="Times New Roman"/>
          <w:sz w:val="32"/>
          <w:szCs w:val="32"/>
        </w:rPr>
        <w:t>到</w:t>
      </w:r>
      <w:r>
        <w:rPr>
          <w:rFonts w:eastAsia="仿宋_GB2312" w:cs="Times New Roman" w:hint="eastAsia"/>
          <w:sz w:val="32"/>
          <w:szCs w:val="32"/>
        </w:rPr>
        <w:t>生物</w:t>
      </w:r>
      <w:r>
        <w:rPr>
          <w:rFonts w:eastAsia="仿宋_GB2312" w:cs="Times New Roman"/>
          <w:sz w:val="32"/>
          <w:szCs w:val="32"/>
        </w:rPr>
        <w:t>等效性试验</w:t>
      </w:r>
      <w:r w:rsidR="00E0141F">
        <w:rPr>
          <w:rFonts w:eastAsia="仿宋_GB2312" w:cs="Times New Roman" w:hint="eastAsia"/>
          <w:sz w:val="32"/>
          <w:szCs w:val="32"/>
        </w:rPr>
        <w:t>的</w:t>
      </w:r>
      <w:r w:rsidR="00E0141F">
        <w:rPr>
          <w:rFonts w:eastAsia="仿宋_GB2312" w:cs="Times New Roman"/>
          <w:sz w:val="32"/>
          <w:szCs w:val="32"/>
        </w:rPr>
        <w:t>目的</w:t>
      </w:r>
      <w:r w:rsidR="00E0141F">
        <w:rPr>
          <w:rFonts w:eastAsia="仿宋_GB2312" w:cs="Times New Roman" w:hint="eastAsia"/>
          <w:sz w:val="32"/>
          <w:szCs w:val="32"/>
        </w:rPr>
        <w:t>是</w:t>
      </w:r>
      <w:r w:rsidR="00E0141F">
        <w:rPr>
          <w:rFonts w:eastAsia="仿宋_GB2312" w:cs="Times New Roman"/>
          <w:sz w:val="32"/>
          <w:szCs w:val="32"/>
        </w:rPr>
        <w:t>评价仿制药与参比制剂</w:t>
      </w:r>
      <w:r w:rsidR="00E0141F">
        <w:rPr>
          <w:rFonts w:eastAsia="仿宋_GB2312" w:cs="Times New Roman" w:hint="eastAsia"/>
          <w:sz w:val="32"/>
          <w:szCs w:val="32"/>
        </w:rPr>
        <w:t>在</w:t>
      </w:r>
      <w:r w:rsidR="00E0141F">
        <w:rPr>
          <w:rFonts w:eastAsia="仿宋_GB2312" w:cs="Times New Roman"/>
          <w:sz w:val="32"/>
          <w:szCs w:val="32"/>
        </w:rPr>
        <w:t>人体内的药动学行为是否一致，综合考虑试验的可行性等</w:t>
      </w:r>
      <w:r>
        <w:rPr>
          <w:rFonts w:eastAsia="仿宋_GB2312" w:cs="Times New Roman"/>
          <w:sz w:val="32"/>
          <w:szCs w:val="32"/>
        </w:rPr>
        <w:t>，</w:t>
      </w:r>
      <w:r w:rsidR="00DE457F">
        <w:rPr>
          <w:rFonts w:eastAsia="仿宋_GB2312" w:cs="Times New Roman" w:hint="eastAsia"/>
          <w:sz w:val="32"/>
          <w:szCs w:val="32"/>
        </w:rPr>
        <w:t>故</w:t>
      </w:r>
      <w:r>
        <w:rPr>
          <w:rFonts w:eastAsia="仿宋_GB2312" w:cs="Times New Roman" w:hint="eastAsia"/>
          <w:sz w:val="32"/>
          <w:szCs w:val="32"/>
        </w:rPr>
        <w:t>建议</w:t>
      </w:r>
      <w:r w:rsidR="00D6549B" w:rsidRPr="00C12E90">
        <w:rPr>
          <w:rFonts w:eastAsia="仿宋_GB2312" w:cs="Times New Roman" w:hint="eastAsia"/>
          <w:sz w:val="32"/>
          <w:szCs w:val="32"/>
        </w:rPr>
        <w:t>选择参比制剂国内外已经批准适应症人群</w:t>
      </w:r>
      <w:r w:rsidR="00E0141F">
        <w:rPr>
          <w:rFonts w:eastAsia="仿宋_GB2312" w:cs="Times New Roman" w:hint="eastAsia"/>
          <w:sz w:val="32"/>
          <w:szCs w:val="32"/>
        </w:rPr>
        <w:t>为</w:t>
      </w:r>
      <w:r w:rsidR="00E0141F">
        <w:rPr>
          <w:rFonts w:eastAsia="仿宋_GB2312" w:cs="Times New Roman"/>
          <w:sz w:val="32"/>
          <w:szCs w:val="32"/>
        </w:rPr>
        <w:t>受试者</w:t>
      </w:r>
      <w:r w:rsidR="00D6549B" w:rsidRPr="00C12E90">
        <w:rPr>
          <w:rFonts w:eastAsia="仿宋_GB2312" w:cs="Times New Roman" w:hint="eastAsia"/>
          <w:sz w:val="32"/>
          <w:szCs w:val="32"/>
        </w:rPr>
        <w:t>。</w:t>
      </w:r>
    </w:p>
    <w:p w14:paraId="5644429D" w14:textId="4543B636" w:rsidR="00386A1B" w:rsidRDefault="00FE075B" w:rsidP="00FE075B">
      <w:pPr>
        <w:widowControl/>
        <w:adjustRightInd w:val="0"/>
        <w:snapToGrid w:val="0"/>
        <w:spacing w:line="360" w:lineRule="auto"/>
        <w:ind w:firstLineChars="200" w:firstLine="640"/>
        <w:rPr>
          <w:rFonts w:eastAsia="仿宋_GB2312" w:cs="Times New Roman"/>
          <w:sz w:val="32"/>
          <w:szCs w:val="32"/>
        </w:rPr>
      </w:pPr>
      <w:r w:rsidRPr="00C12E90">
        <w:rPr>
          <w:rFonts w:eastAsia="仿宋_GB2312" w:cs="Times New Roman"/>
          <w:sz w:val="32"/>
          <w:szCs w:val="32"/>
        </w:rPr>
        <w:lastRenderedPageBreak/>
        <w:t>为使本品生物等效性试验的开展更具实操性，本</w:t>
      </w:r>
      <w:r w:rsidR="00530088" w:rsidRPr="00C12E90">
        <w:rPr>
          <w:rFonts w:eastAsia="仿宋_GB2312" w:cs="Times New Roman" w:hint="eastAsia"/>
          <w:sz w:val="32"/>
          <w:szCs w:val="32"/>
        </w:rPr>
        <w:t>指导原则</w:t>
      </w:r>
      <w:r w:rsidRPr="00C12E90">
        <w:rPr>
          <w:rFonts w:eastAsia="仿宋_GB2312" w:cs="Times New Roman"/>
          <w:sz w:val="32"/>
          <w:szCs w:val="32"/>
        </w:rPr>
        <w:t>对生物等效性评价指标及生物等效性的接受标准等</w:t>
      </w:r>
      <w:r w:rsidR="00D87F8B" w:rsidRPr="00C12E90">
        <w:rPr>
          <w:rFonts w:eastAsia="仿宋_GB2312" w:cs="Times New Roman" w:hint="eastAsia"/>
          <w:sz w:val="32"/>
          <w:szCs w:val="32"/>
        </w:rPr>
        <w:t>也</w:t>
      </w:r>
      <w:r w:rsidRPr="00C12E90">
        <w:rPr>
          <w:rFonts w:eastAsia="仿宋_GB2312" w:cs="Times New Roman"/>
          <w:sz w:val="32"/>
          <w:szCs w:val="32"/>
        </w:rPr>
        <w:t>给出了具体建议</w:t>
      </w:r>
      <w:r w:rsidRPr="00C12E90">
        <w:rPr>
          <w:rFonts w:eastAsia="仿宋_GB2312" w:cs="Times New Roman" w:hint="eastAsia"/>
          <w:sz w:val="32"/>
          <w:szCs w:val="32"/>
        </w:rPr>
        <w:t>。</w:t>
      </w:r>
    </w:p>
    <w:p w14:paraId="4532DB9F" w14:textId="7B92B88B" w:rsidR="00E0141F" w:rsidRPr="0051099A" w:rsidRDefault="00E0141F" w:rsidP="0051099A">
      <w:pPr>
        <w:widowControl/>
        <w:adjustRightInd w:val="0"/>
        <w:snapToGrid w:val="0"/>
        <w:spacing w:line="360" w:lineRule="auto"/>
        <w:rPr>
          <w:rFonts w:ascii="宋体" w:eastAsia="宋体" w:hAnsi="宋体" w:cs="Times New Roman"/>
          <w:b/>
          <w:spacing w:val="-8"/>
          <w:sz w:val="32"/>
          <w:szCs w:val="44"/>
        </w:rPr>
      </w:pPr>
      <w:r>
        <w:rPr>
          <w:rFonts w:ascii="宋体" w:eastAsia="宋体" w:hAnsi="宋体" w:cs="Times New Roman" w:hint="eastAsia"/>
          <w:b/>
          <w:spacing w:val="-8"/>
          <w:sz w:val="32"/>
          <w:szCs w:val="44"/>
        </w:rPr>
        <w:t>三</w:t>
      </w:r>
      <w:r w:rsidRPr="00C12E90">
        <w:rPr>
          <w:rFonts w:ascii="宋体" w:eastAsia="宋体" w:hAnsi="宋体" w:cs="Times New Roman"/>
          <w:b/>
          <w:spacing w:val="-8"/>
          <w:sz w:val="32"/>
          <w:szCs w:val="44"/>
        </w:rPr>
        <w:t>、</w:t>
      </w:r>
      <w:r>
        <w:rPr>
          <w:rFonts w:ascii="宋体" w:eastAsia="宋体" w:hAnsi="宋体" w:cs="Times New Roman" w:hint="eastAsia"/>
          <w:b/>
          <w:spacing w:val="-8"/>
          <w:sz w:val="32"/>
          <w:szCs w:val="44"/>
        </w:rPr>
        <w:t>参考文献</w:t>
      </w:r>
    </w:p>
    <w:p w14:paraId="4FD852AB" w14:textId="4D9B44A9" w:rsidR="00E0141F" w:rsidRDefault="00DD2A52" w:rsidP="0051099A">
      <w:pPr>
        <w:widowControl/>
        <w:adjustRightInd w:val="0"/>
        <w:snapToGrid w:val="0"/>
        <w:spacing w:line="360" w:lineRule="auto"/>
        <w:ind w:firstLineChars="200" w:firstLine="640"/>
        <w:rPr>
          <w:rFonts w:eastAsia="仿宋_GB2312" w:cs="Times New Roman"/>
          <w:sz w:val="32"/>
          <w:szCs w:val="32"/>
        </w:rPr>
      </w:pPr>
      <w:r>
        <w:rPr>
          <w:rFonts w:eastAsia="仿宋_GB2312" w:cs="Times New Roman"/>
          <w:sz w:val="32"/>
          <w:szCs w:val="32"/>
        </w:rPr>
        <w:t>1.</w:t>
      </w:r>
      <w:r w:rsidR="00243CEA">
        <w:rPr>
          <w:rFonts w:ascii="仿宋_GB2312" w:eastAsia="仿宋_GB2312" w:cs="Times New Roman" w:hint="eastAsia"/>
          <w:sz w:val="32"/>
          <w:szCs w:val="32"/>
        </w:rPr>
        <w:t xml:space="preserve"> </w:t>
      </w:r>
      <w:r w:rsidRPr="00DD2A52">
        <w:rPr>
          <w:rFonts w:eastAsia="仿宋_GB2312" w:cs="Times New Roman"/>
          <w:sz w:val="32"/>
          <w:szCs w:val="32"/>
        </w:rPr>
        <w:t xml:space="preserve">FDA. Approved Drug Products: </w:t>
      </w:r>
      <w:r w:rsidR="0051099A">
        <w:rPr>
          <w:rFonts w:eastAsia="仿宋_GB2312" w:cs="Times New Roman"/>
          <w:sz w:val="32"/>
          <w:szCs w:val="32"/>
        </w:rPr>
        <w:t>DOXIL (LIPOSOMAL) [EB/OL]</w:t>
      </w:r>
      <w:r w:rsidR="005A2504">
        <w:rPr>
          <w:rFonts w:eastAsia="仿宋_GB2312" w:cs="Times New Roman"/>
          <w:sz w:val="32"/>
          <w:szCs w:val="32"/>
        </w:rPr>
        <w:t xml:space="preserve"> </w:t>
      </w:r>
      <w:r w:rsidRPr="00DD2A52">
        <w:rPr>
          <w:rFonts w:eastAsia="仿宋_GB2312" w:cs="Times New Roman"/>
          <w:sz w:val="32"/>
          <w:szCs w:val="32"/>
        </w:rPr>
        <w:t>https://www.accessdata.fda.gov/drugsatfda_docs/label/</w:t>
      </w:r>
      <w:r w:rsidR="005A2504">
        <w:rPr>
          <w:rFonts w:eastAsia="仿宋_GB2312" w:cs="Times New Roman"/>
          <w:sz w:val="32"/>
          <w:szCs w:val="32"/>
        </w:rPr>
        <w:t xml:space="preserve"> </w:t>
      </w:r>
      <w:r w:rsidRPr="00DD2A52">
        <w:rPr>
          <w:rFonts w:eastAsia="仿宋_GB2312" w:cs="Times New Roman"/>
          <w:sz w:val="32"/>
          <w:szCs w:val="32"/>
        </w:rPr>
        <w:t>20</w:t>
      </w:r>
      <w:r w:rsidR="0051099A">
        <w:rPr>
          <w:rFonts w:eastAsia="仿宋_GB2312" w:cs="Times New Roman"/>
          <w:sz w:val="32"/>
          <w:szCs w:val="32"/>
        </w:rPr>
        <w:t>19</w:t>
      </w:r>
      <w:r w:rsidRPr="00DD2A52">
        <w:rPr>
          <w:rFonts w:eastAsia="仿宋_GB2312" w:cs="Times New Roman"/>
          <w:sz w:val="32"/>
          <w:szCs w:val="32"/>
        </w:rPr>
        <w:t>/</w:t>
      </w:r>
      <w:r w:rsidR="0051099A">
        <w:rPr>
          <w:rFonts w:eastAsia="仿宋_GB2312" w:cs="Times New Roman"/>
          <w:sz w:val="32"/>
          <w:szCs w:val="32"/>
        </w:rPr>
        <w:t>050718s055</w:t>
      </w:r>
      <w:r w:rsidRPr="00DD2A52">
        <w:rPr>
          <w:rFonts w:eastAsia="仿宋_GB2312" w:cs="Times New Roman"/>
          <w:sz w:val="32"/>
          <w:szCs w:val="32"/>
        </w:rPr>
        <w:t>lbl.pdf</w:t>
      </w:r>
    </w:p>
    <w:p w14:paraId="5FEDDA29" w14:textId="45F2A44E" w:rsidR="0051099A" w:rsidRPr="0051099A" w:rsidRDefault="0051099A" w:rsidP="005A2504">
      <w:pPr>
        <w:widowControl/>
        <w:adjustRightInd w:val="0"/>
        <w:snapToGrid w:val="0"/>
        <w:spacing w:line="360" w:lineRule="auto"/>
        <w:ind w:firstLineChars="200" w:firstLine="640"/>
        <w:rPr>
          <w:rFonts w:eastAsia="仿宋_GB2312" w:cs="Times New Roman"/>
          <w:sz w:val="32"/>
          <w:szCs w:val="32"/>
        </w:rPr>
      </w:pPr>
      <w:r>
        <w:rPr>
          <w:rFonts w:eastAsia="仿宋_GB2312" w:cs="Times New Roman"/>
          <w:sz w:val="32"/>
          <w:szCs w:val="32"/>
        </w:rPr>
        <w:t>2.</w:t>
      </w:r>
      <w:r w:rsidR="00243CEA">
        <w:rPr>
          <w:rFonts w:ascii="仿宋_GB2312" w:eastAsia="仿宋_GB2312" w:cs="Times New Roman" w:hint="eastAsia"/>
          <w:sz w:val="32"/>
          <w:szCs w:val="32"/>
        </w:rPr>
        <w:t xml:space="preserve"> </w:t>
      </w:r>
      <w:r w:rsidR="005A2504" w:rsidRPr="005A2504">
        <w:rPr>
          <w:rFonts w:eastAsia="仿宋_GB2312" w:cs="Times New Roman"/>
          <w:sz w:val="32"/>
          <w:szCs w:val="32"/>
        </w:rPr>
        <w:t xml:space="preserve">EMA. Caelyx: EPAR-Product Information. </w:t>
      </w:r>
      <w:r w:rsidR="005A2504">
        <w:rPr>
          <w:rFonts w:eastAsia="仿宋_GB2312" w:cs="Times New Roman"/>
          <w:sz w:val="32"/>
          <w:szCs w:val="32"/>
        </w:rPr>
        <w:t xml:space="preserve">[EB/OL] </w:t>
      </w:r>
      <w:r w:rsidR="005A2504" w:rsidRPr="005A2504">
        <w:rPr>
          <w:rFonts w:eastAsia="仿宋_GB2312" w:cs="Times New Roman"/>
          <w:sz w:val="32"/>
          <w:szCs w:val="32"/>
        </w:rPr>
        <w:t>https://www.ema</w:t>
      </w:r>
      <w:r w:rsidR="005A2504">
        <w:rPr>
          <w:rFonts w:eastAsia="仿宋_GB2312" w:cs="Times New Roman"/>
          <w:sz w:val="32"/>
          <w:szCs w:val="32"/>
        </w:rPr>
        <w:t>.europa.eu/en/documents/product-</w:t>
      </w:r>
      <w:r w:rsidR="005A2504" w:rsidRPr="005A2504">
        <w:rPr>
          <w:rFonts w:eastAsia="仿宋_GB2312" w:cs="Times New Roman"/>
          <w:sz w:val="32"/>
          <w:szCs w:val="32"/>
        </w:rPr>
        <w:t>information/</w:t>
      </w:r>
      <w:r w:rsidR="005A2504">
        <w:rPr>
          <w:rFonts w:eastAsia="仿宋_GB2312" w:cs="Times New Roman"/>
          <w:sz w:val="32"/>
          <w:szCs w:val="32"/>
        </w:rPr>
        <w:t xml:space="preserve"> </w:t>
      </w:r>
      <w:r w:rsidR="005A2504" w:rsidRPr="005A2504">
        <w:rPr>
          <w:rFonts w:eastAsia="仿宋_GB2312" w:cs="Times New Roman"/>
          <w:sz w:val="32"/>
          <w:szCs w:val="32"/>
        </w:rPr>
        <w:t>caelyx-epar-product-information_en.pdf</w:t>
      </w:r>
    </w:p>
    <w:p w14:paraId="2A32232B" w14:textId="54B4031A" w:rsidR="00DD2A52" w:rsidRPr="00F24CAC" w:rsidRDefault="00DD2A52" w:rsidP="00DD2A52">
      <w:pPr>
        <w:topLinePunct/>
        <w:spacing w:line="360" w:lineRule="auto"/>
        <w:ind w:firstLineChars="200" w:firstLine="640"/>
        <w:rPr>
          <w:rFonts w:ascii="仿宋_GB2312" w:eastAsia="仿宋_GB2312" w:cs="Times New Roman"/>
          <w:sz w:val="32"/>
          <w:szCs w:val="32"/>
        </w:rPr>
      </w:pPr>
      <w:r>
        <w:rPr>
          <w:rFonts w:eastAsia="仿宋_GB2312" w:cs="Times New Roman"/>
          <w:sz w:val="32"/>
          <w:szCs w:val="32"/>
        </w:rPr>
        <w:t>3</w:t>
      </w:r>
      <w:r w:rsidRPr="00F24CAC">
        <w:rPr>
          <w:rFonts w:eastAsia="仿宋_GB2312" w:cs="Times New Roman"/>
          <w:sz w:val="32"/>
          <w:szCs w:val="32"/>
        </w:rPr>
        <w:t>.</w:t>
      </w:r>
      <w:r w:rsidR="0051099A">
        <w:rPr>
          <w:rFonts w:ascii="仿宋_GB2312" w:eastAsia="仿宋_GB2312" w:cs="Times New Roman" w:hint="eastAsia"/>
          <w:sz w:val="32"/>
          <w:szCs w:val="32"/>
        </w:rPr>
        <w:t xml:space="preserve"> </w:t>
      </w:r>
      <w:r w:rsidRPr="00F24CAC">
        <w:rPr>
          <w:rFonts w:eastAsia="仿宋_GB2312" w:cs="Times New Roman"/>
          <w:sz w:val="32"/>
          <w:szCs w:val="32"/>
        </w:rPr>
        <w:t>Food and Drug Administration. Draft Guidance on Doxorubicin Hydrochloride. Recommended Feb 2010; Revised Nov 2013, Dec 2014, Apr 2017, Sept 2018</w:t>
      </w:r>
    </w:p>
    <w:p w14:paraId="28AA5957" w14:textId="694BC862" w:rsidR="00DD2A52" w:rsidRDefault="00DD2A52" w:rsidP="000739A4">
      <w:pPr>
        <w:topLinePunct/>
        <w:spacing w:line="360" w:lineRule="auto"/>
        <w:ind w:firstLineChars="200" w:firstLine="640"/>
        <w:rPr>
          <w:rFonts w:eastAsia="仿宋_GB2312" w:cs="Times New Roman" w:hint="eastAsia"/>
          <w:sz w:val="32"/>
          <w:szCs w:val="32"/>
        </w:rPr>
      </w:pPr>
      <w:r>
        <w:rPr>
          <w:rFonts w:eastAsia="仿宋_GB2312" w:cs="Times New Roman"/>
          <w:sz w:val="32"/>
          <w:szCs w:val="32"/>
        </w:rPr>
        <w:t>4</w:t>
      </w:r>
      <w:r w:rsidRPr="00F24CAC">
        <w:rPr>
          <w:rFonts w:eastAsia="仿宋_GB2312" w:cs="Times New Roman"/>
          <w:sz w:val="32"/>
          <w:szCs w:val="32"/>
        </w:rPr>
        <w:t>.</w:t>
      </w:r>
      <w:r w:rsidRPr="00F24CAC">
        <w:rPr>
          <w:rFonts w:eastAsia="宋体" w:cs="Times New Roman"/>
          <w:bCs/>
          <w:sz w:val="32"/>
          <w:szCs w:val="32"/>
        </w:rPr>
        <w:t xml:space="preserve"> European Medicines Agency. Pegylated liposomal doxorubicin hydrochloride concentrate for solution 2 mg/ml product-specific bioequivalence guidance. 1 July 2019, EMA/CHMP/800775/2017</w:t>
      </w:r>
      <w:bookmarkStart w:id="0" w:name="_GoBack"/>
      <w:bookmarkEnd w:id="0"/>
    </w:p>
    <w:sectPr w:rsidR="00DD2A52" w:rsidSect="00243375">
      <w:type w:val="continuous"/>
      <w:pgSz w:w="11906" w:h="16838" w:code="9"/>
      <w:pgMar w:top="1440" w:right="1797" w:bottom="1440" w:left="1797"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AA2CF" w14:textId="77777777" w:rsidR="00B17EB3" w:rsidRDefault="00B17EB3" w:rsidP="00F50E90">
      <w:r>
        <w:separator/>
      </w:r>
    </w:p>
  </w:endnote>
  <w:endnote w:type="continuationSeparator" w:id="0">
    <w:p w14:paraId="5616E06D" w14:textId="77777777" w:rsidR="00B17EB3" w:rsidRDefault="00B17EB3" w:rsidP="00F5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3E691" w14:textId="77777777" w:rsidR="00B17EB3" w:rsidRDefault="00B17EB3" w:rsidP="00F50E90">
      <w:r>
        <w:separator/>
      </w:r>
    </w:p>
  </w:footnote>
  <w:footnote w:type="continuationSeparator" w:id="0">
    <w:p w14:paraId="4AB42BCB" w14:textId="77777777" w:rsidR="00B17EB3" w:rsidRDefault="00B17EB3" w:rsidP="00F50E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40"/>
    <w:rsid w:val="00000092"/>
    <w:rsid w:val="000047DA"/>
    <w:rsid w:val="00004B2D"/>
    <w:rsid w:val="00005B4C"/>
    <w:rsid w:val="000139B9"/>
    <w:rsid w:val="00013EB3"/>
    <w:rsid w:val="0001697C"/>
    <w:rsid w:val="00016A71"/>
    <w:rsid w:val="00021172"/>
    <w:rsid w:val="00021494"/>
    <w:rsid w:val="00021FE4"/>
    <w:rsid w:val="0002718C"/>
    <w:rsid w:val="00031595"/>
    <w:rsid w:val="00040FCD"/>
    <w:rsid w:val="00044216"/>
    <w:rsid w:val="00047251"/>
    <w:rsid w:val="00047C63"/>
    <w:rsid w:val="00050B19"/>
    <w:rsid w:val="00050DA5"/>
    <w:rsid w:val="000514E8"/>
    <w:rsid w:val="00054108"/>
    <w:rsid w:val="00055F4D"/>
    <w:rsid w:val="0005640D"/>
    <w:rsid w:val="000739A4"/>
    <w:rsid w:val="000774C6"/>
    <w:rsid w:val="000814F5"/>
    <w:rsid w:val="00082A40"/>
    <w:rsid w:val="00090466"/>
    <w:rsid w:val="00090578"/>
    <w:rsid w:val="00093C56"/>
    <w:rsid w:val="000A6498"/>
    <w:rsid w:val="000A6FBC"/>
    <w:rsid w:val="000B192B"/>
    <w:rsid w:val="000C2ADF"/>
    <w:rsid w:val="000C59F8"/>
    <w:rsid w:val="000C734E"/>
    <w:rsid w:val="000D3812"/>
    <w:rsid w:val="000E056A"/>
    <w:rsid w:val="000E285B"/>
    <w:rsid w:val="000E6901"/>
    <w:rsid w:val="000F1F85"/>
    <w:rsid w:val="00100394"/>
    <w:rsid w:val="0010532C"/>
    <w:rsid w:val="001141AC"/>
    <w:rsid w:val="0012049A"/>
    <w:rsid w:val="00120917"/>
    <w:rsid w:val="00126EEA"/>
    <w:rsid w:val="00136D8E"/>
    <w:rsid w:val="00140376"/>
    <w:rsid w:val="00144283"/>
    <w:rsid w:val="00146ACE"/>
    <w:rsid w:val="0016269F"/>
    <w:rsid w:val="0017202D"/>
    <w:rsid w:val="00177192"/>
    <w:rsid w:val="001808E6"/>
    <w:rsid w:val="00187640"/>
    <w:rsid w:val="0019781E"/>
    <w:rsid w:val="001A03FB"/>
    <w:rsid w:val="001A2020"/>
    <w:rsid w:val="001A7A14"/>
    <w:rsid w:val="001B2E1B"/>
    <w:rsid w:val="001D5E99"/>
    <w:rsid w:val="001D75C3"/>
    <w:rsid w:val="001E4CF9"/>
    <w:rsid w:val="001E6CC5"/>
    <w:rsid w:val="001F262B"/>
    <w:rsid w:val="001F2A47"/>
    <w:rsid w:val="001F642F"/>
    <w:rsid w:val="00202DF6"/>
    <w:rsid w:val="0020308E"/>
    <w:rsid w:val="0020628C"/>
    <w:rsid w:val="00206FEF"/>
    <w:rsid w:val="00211A40"/>
    <w:rsid w:val="002132CA"/>
    <w:rsid w:val="00213874"/>
    <w:rsid w:val="00214FBA"/>
    <w:rsid w:val="002220F5"/>
    <w:rsid w:val="0023158F"/>
    <w:rsid w:val="00240434"/>
    <w:rsid w:val="00243375"/>
    <w:rsid w:val="00243CEA"/>
    <w:rsid w:val="002460CD"/>
    <w:rsid w:val="00251447"/>
    <w:rsid w:val="00253217"/>
    <w:rsid w:val="00253AF7"/>
    <w:rsid w:val="00253D1D"/>
    <w:rsid w:val="0025540D"/>
    <w:rsid w:val="00264747"/>
    <w:rsid w:val="00271519"/>
    <w:rsid w:val="00273C85"/>
    <w:rsid w:val="002757E5"/>
    <w:rsid w:val="00276926"/>
    <w:rsid w:val="0029194A"/>
    <w:rsid w:val="00296EE2"/>
    <w:rsid w:val="00297348"/>
    <w:rsid w:val="002C21D9"/>
    <w:rsid w:val="002C2E9E"/>
    <w:rsid w:val="002C2F9A"/>
    <w:rsid w:val="002D37B4"/>
    <w:rsid w:val="002E152E"/>
    <w:rsid w:val="002E240F"/>
    <w:rsid w:val="002E2E2A"/>
    <w:rsid w:val="002E5D2F"/>
    <w:rsid w:val="002F2E4E"/>
    <w:rsid w:val="002F4038"/>
    <w:rsid w:val="0030600D"/>
    <w:rsid w:val="00307021"/>
    <w:rsid w:val="00310071"/>
    <w:rsid w:val="003100EB"/>
    <w:rsid w:val="0031538F"/>
    <w:rsid w:val="003208FD"/>
    <w:rsid w:val="00325738"/>
    <w:rsid w:val="003406F7"/>
    <w:rsid w:val="00344A37"/>
    <w:rsid w:val="0034705E"/>
    <w:rsid w:val="00363829"/>
    <w:rsid w:val="0036554B"/>
    <w:rsid w:val="003767E5"/>
    <w:rsid w:val="00384EB4"/>
    <w:rsid w:val="003865AE"/>
    <w:rsid w:val="00386A1B"/>
    <w:rsid w:val="00391E9C"/>
    <w:rsid w:val="003932CF"/>
    <w:rsid w:val="003961C1"/>
    <w:rsid w:val="003A0BC1"/>
    <w:rsid w:val="003B0F9C"/>
    <w:rsid w:val="003B11CD"/>
    <w:rsid w:val="003B74F8"/>
    <w:rsid w:val="003C2D8E"/>
    <w:rsid w:val="003D21CE"/>
    <w:rsid w:val="003E3D67"/>
    <w:rsid w:val="003E4970"/>
    <w:rsid w:val="003F3070"/>
    <w:rsid w:val="003F5E41"/>
    <w:rsid w:val="003F71A2"/>
    <w:rsid w:val="00403C11"/>
    <w:rsid w:val="004046C6"/>
    <w:rsid w:val="00404B48"/>
    <w:rsid w:val="0041426F"/>
    <w:rsid w:val="00416991"/>
    <w:rsid w:val="00422CA4"/>
    <w:rsid w:val="0042406C"/>
    <w:rsid w:val="004272C4"/>
    <w:rsid w:val="00432462"/>
    <w:rsid w:val="00434C0B"/>
    <w:rsid w:val="004367B5"/>
    <w:rsid w:val="004428EF"/>
    <w:rsid w:val="00443227"/>
    <w:rsid w:val="00445ACE"/>
    <w:rsid w:val="00446174"/>
    <w:rsid w:val="004463E8"/>
    <w:rsid w:val="00446D38"/>
    <w:rsid w:val="00457CE0"/>
    <w:rsid w:val="0046278A"/>
    <w:rsid w:val="00463293"/>
    <w:rsid w:val="00464EAF"/>
    <w:rsid w:val="0046682C"/>
    <w:rsid w:val="00467E02"/>
    <w:rsid w:val="00474BB8"/>
    <w:rsid w:val="00481D2D"/>
    <w:rsid w:val="00482968"/>
    <w:rsid w:val="004839CF"/>
    <w:rsid w:val="00483A5E"/>
    <w:rsid w:val="00484AA4"/>
    <w:rsid w:val="004858DE"/>
    <w:rsid w:val="00486DDB"/>
    <w:rsid w:val="00494D3D"/>
    <w:rsid w:val="00496316"/>
    <w:rsid w:val="004A2067"/>
    <w:rsid w:val="004A3E7F"/>
    <w:rsid w:val="004A665B"/>
    <w:rsid w:val="004C25C6"/>
    <w:rsid w:val="004E03C8"/>
    <w:rsid w:val="004E631C"/>
    <w:rsid w:val="004F1919"/>
    <w:rsid w:val="004F5AAB"/>
    <w:rsid w:val="004F6390"/>
    <w:rsid w:val="004F68A0"/>
    <w:rsid w:val="004F6D40"/>
    <w:rsid w:val="004F779E"/>
    <w:rsid w:val="004F7E9A"/>
    <w:rsid w:val="005005B7"/>
    <w:rsid w:val="00500CA3"/>
    <w:rsid w:val="00501021"/>
    <w:rsid w:val="005052C9"/>
    <w:rsid w:val="00506E6E"/>
    <w:rsid w:val="0051099A"/>
    <w:rsid w:val="00512BAD"/>
    <w:rsid w:val="00514908"/>
    <w:rsid w:val="00514F27"/>
    <w:rsid w:val="00515E7A"/>
    <w:rsid w:val="00520740"/>
    <w:rsid w:val="005236C8"/>
    <w:rsid w:val="00526338"/>
    <w:rsid w:val="00530088"/>
    <w:rsid w:val="00537E6D"/>
    <w:rsid w:val="00540E12"/>
    <w:rsid w:val="00551EC3"/>
    <w:rsid w:val="0056581E"/>
    <w:rsid w:val="00567E9E"/>
    <w:rsid w:val="005714A5"/>
    <w:rsid w:val="005721DD"/>
    <w:rsid w:val="005802B3"/>
    <w:rsid w:val="0059042B"/>
    <w:rsid w:val="00593C58"/>
    <w:rsid w:val="0059583B"/>
    <w:rsid w:val="005A10C9"/>
    <w:rsid w:val="005A2504"/>
    <w:rsid w:val="005A2E77"/>
    <w:rsid w:val="005A3343"/>
    <w:rsid w:val="005B3A0E"/>
    <w:rsid w:val="005B70BA"/>
    <w:rsid w:val="005C0E98"/>
    <w:rsid w:val="005C4568"/>
    <w:rsid w:val="005C519B"/>
    <w:rsid w:val="005C6DE5"/>
    <w:rsid w:val="005D05FE"/>
    <w:rsid w:val="005E14B8"/>
    <w:rsid w:val="005E1A00"/>
    <w:rsid w:val="005E2052"/>
    <w:rsid w:val="005F468C"/>
    <w:rsid w:val="005F46A5"/>
    <w:rsid w:val="005F6138"/>
    <w:rsid w:val="005F646E"/>
    <w:rsid w:val="006009F0"/>
    <w:rsid w:val="00602C2B"/>
    <w:rsid w:val="00603EED"/>
    <w:rsid w:val="00607650"/>
    <w:rsid w:val="0061034D"/>
    <w:rsid w:val="006110B2"/>
    <w:rsid w:val="00617B6D"/>
    <w:rsid w:val="00623565"/>
    <w:rsid w:val="00626E00"/>
    <w:rsid w:val="00632573"/>
    <w:rsid w:val="00633133"/>
    <w:rsid w:val="00633365"/>
    <w:rsid w:val="006345D1"/>
    <w:rsid w:val="006354BE"/>
    <w:rsid w:val="006354EA"/>
    <w:rsid w:val="0063675F"/>
    <w:rsid w:val="00641F8E"/>
    <w:rsid w:val="00643F1C"/>
    <w:rsid w:val="00651E89"/>
    <w:rsid w:val="00652678"/>
    <w:rsid w:val="0066724E"/>
    <w:rsid w:val="00672092"/>
    <w:rsid w:val="00692B00"/>
    <w:rsid w:val="006931EF"/>
    <w:rsid w:val="00693512"/>
    <w:rsid w:val="00693911"/>
    <w:rsid w:val="00696E82"/>
    <w:rsid w:val="006B7A3A"/>
    <w:rsid w:val="006C6439"/>
    <w:rsid w:val="006D0A72"/>
    <w:rsid w:val="006D23D1"/>
    <w:rsid w:val="006D4770"/>
    <w:rsid w:val="006E04F5"/>
    <w:rsid w:val="006E2768"/>
    <w:rsid w:val="006F49FD"/>
    <w:rsid w:val="007102D2"/>
    <w:rsid w:val="007122AB"/>
    <w:rsid w:val="0072213B"/>
    <w:rsid w:val="0072709D"/>
    <w:rsid w:val="00731D78"/>
    <w:rsid w:val="00735340"/>
    <w:rsid w:val="0074255B"/>
    <w:rsid w:val="00743480"/>
    <w:rsid w:val="007434F9"/>
    <w:rsid w:val="00743BE2"/>
    <w:rsid w:val="007523C9"/>
    <w:rsid w:val="0075497C"/>
    <w:rsid w:val="007601B6"/>
    <w:rsid w:val="00760DFE"/>
    <w:rsid w:val="00772695"/>
    <w:rsid w:val="00783037"/>
    <w:rsid w:val="0079082B"/>
    <w:rsid w:val="0079257C"/>
    <w:rsid w:val="00796956"/>
    <w:rsid w:val="007970B7"/>
    <w:rsid w:val="007A0297"/>
    <w:rsid w:val="007A3744"/>
    <w:rsid w:val="007A4293"/>
    <w:rsid w:val="007B3206"/>
    <w:rsid w:val="007B7811"/>
    <w:rsid w:val="007C33E6"/>
    <w:rsid w:val="007C6E38"/>
    <w:rsid w:val="007C70BC"/>
    <w:rsid w:val="007D00F2"/>
    <w:rsid w:val="007D30C7"/>
    <w:rsid w:val="007D5A6C"/>
    <w:rsid w:val="007D6B88"/>
    <w:rsid w:val="007F08F9"/>
    <w:rsid w:val="007F6F7E"/>
    <w:rsid w:val="00802A65"/>
    <w:rsid w:val="00807571"/>
    <w:rsid w:val="008204EE"/>
    <w:rsid w:val="00822EC1"/>
    <w:rsid w:val="00823B80"/>
    <w:rsid w:val="00824B87"/>
    <w:rsid w:val="00824FCB"/>
    <w:rsid w:val="00826A5E"/>
    <w:rsid w:val="008364AF"/>
    <w:rsid w:val="00844596"/>
    <w:rsid w:val="00846799"/>
    <w:rsid w:val="00847C98"/>
    <w:rsid w:val="00862034"/>
    <w:rsid w:val="00862CE6"/>
    <w:rsid w:val="00867611"/>
    <w:rsid w:val="00874919"/>
    <w:rsid w:val="00882A19"/>
    <w:rsid w:val="0088786A"/>
    <w:rsid w:val="00890941"/>
    <w:rsid w:val="00893CBC"/>
    <w:rsid w:val="00894889"/>
    <w:rsid w:val="008A0D03"/>
    <w:rsid w:val="008A0DA8"/>
    <w:rsid w:val="008C23D7"/>
    <w:rsid w:val="008C4725"/>
    <w:rsid w:val="008D0F93"/>
    <w:rsid w:val="008D1654"/>
    <w:rsid w:val="008D1CC5"/>
    <w:rsid w:val="008E7B73"/>
    <w:rsid w:val="008E7B84"/>
    <w:rsid w:val="009034F2"/>
    <w:rsid w:val="00910318"/>
    <w:rsid w:val="009106ED"/>
    <w:rsid w:val="00910A1B"/>
    <w:rsid w:val="00917AB1"/>
    <w:rsid w:val="00922C53"/>
    <w:rsid w:val="009241A8"/>
    <w:rsid w:val="00924274"/>
    <w:rsid w:val="00925E9E"/>
    <w:rsid w:val="00926010"/>
    <w:rsid w:val="00926A3F"/>
    <w:rsid w:val="00926D29"/>
    <w:rsid w:val="00927B9E"/>
    <w:rsid w:val="00932157"/>
    <w:rsid w:val="00934A36"/>
    <w:rsid w:val="00935CD4"/>
    <w:rsid w:val="00937C9B"/>
    <w:rsid w:val="00956E16"/>
    <w:rsid w:val="0095769D"/>
    <w:rsid w:val="00964943"/>
    <w:rsid w:val="00967505"/>
    <w:rsid w:val="00970BF1"/>
    <w:rsid w:val="009729E5"/>
    <w:rsid w:val="00981154"/>
    <w:rsid w:val="00981AAB"/>
    <w:rsid w:val="009839FB"/>
    <w:rsid w:val="00983B20"/>
    <w:rsid w:val="009952C5"/>
    <w:rsid w:val="00997165"/>
    <w:rsid w:val="00997984"/>
    <w:rsid w:val="009A034A"/>
    <w:rsid w:val="009A1FC6"/>
    <w:rsid w:val="009A1FF6"/>
    <w:rsid w:val="009A7DF0"/>
    <w:rsid w:val="009B055A"/>
    <w:rsid w:val="009B07B9"/>
    <w:rsid w:val="009B5281"/>
    <w:rsid w:val="009D63C0"/>
    <w:rsid w:val="009F39C5"/>
    <w:rsid w:val="00A013B9"/>
    <w:rsid w:val="00A21CC5"/>
    <w:rsid w:val="00A23100"/>
    <w:rsid w:val="00A25608"/>
    <w:rsid w:val="00A34494"/>
    <w:rsid w:val="00A373F5"/>
    <w:rsid w:val="00A418A2"/>
    <w:rsid w:val="00A42DC8"/>
    <w:rsid w:val="00A54C69"/>
    <w:rsid w:val="00A54C7B"/>
    <w:rsid w:val="00A634F1"/>
    <w:rsid w:val="00A803C2"/>
    <w:rsid w:val="00A8108B"/>
    <w:rsid w:val="00A8370E"/>
    <w:rsid w:val="00A86A32"/>
    <w:rsid w:val="00A94408"/>
    <w:rsid w:val="00AA0C63"/>
    <w:rsid w:val="00AA1682"/>
    <w:rsid w:val="00AA39DB"/>
    <w:rsid w:val="00AA45B7"/>
    <w:rsid w:val="00AA67CF"/>
    <w:rsid w:val="00AA71BB"/>
    <w:rsid w:val="00AB1BC5"/>
    <w:rsid w:val="00AB45C5"/>
    <w:rsid w:val="00AB4EDE"/>
    <w:rsid w:val="00AB7E32"/>
    <w:rsid w:val="00AD0612"/>
    <w:rsid w:val="00AD39D2"/>
    <w:rsid w:val="00AD5FA1"/>
    <w:rsid w:val="00AD7B2E"/>
    <w:rsid w:val="00AE44CA"/>
    <w:rsid w:val="00AF2A51"/>
    <w:rsid w:val="00AF5000"/>
    <w:rsid w:val="00B02C2C"/>
    <w:rsid w:val="00B05031"/>
    <w:rsid w:val="00B07745"/>
    <w:rsid w:val="00B077BC"/>
    <w:rsid w:val="00B07EB0"/>
    <w:rsid w:val="00B15329"/>
    <w:rsid w:val="00B1752C"/>
    <w:rsid w:val="00B17EB3"/>
    <w:rsid w:val="00B26CC2"/>
    <w:rsid w:val="00B30549"/>
    <w:rsid w:val="00B31E8F"/>
    <w:rsid w:val="00B4130D"/>
    <w:rsid w:val="00B5292B"/>
    <w:rsid w:val="00B53252"/>
    <w:rsid w:val="00B56DA7"/>
    <w:rsid w:val="00B574BB"/>
    <w:rsid w:val="00B60E08"/>
    <w:rsid w:val="00B63226"/>
    <w:rsid w:val="00B64BB9"/>
    <w:rsid w:val="00B70E3D"/>
    <w:rsid w:val="00B72F75"/>
    <w:rsid w:val="00B75EC3"/>
    <w:rsid w:val="00B76CEE"/>
    <w:rsid w:val="00B777E8"/>
    <w:rsid w:val="00B80C06"/>
    <w:rsid w:val="00B8731F"/>
    <w:rsid w:val="00B90204"/>
    <w:rsid w:val="00B920BE"/>
    <w:rsid w:val="00BA51C3"/>
    <w:rsid w:val="00BA7210"/>
    <w:rsid w:val="00BB1042"/>
    <w:rsid w:val="00BB4259"/>
    <w:rsid w:val="00BC41B2"/>
    <w:rsid w:val="00BC4DBB"/>
    <w:rsid w:val="00BC53CA"/>
    <w:rsid w:val="00BC6F62"/>
    <w:rsid w:val="00BD2E0F"/>
    <w:rsid w:val="00BD7229"/>
    <w:rsid w:val="00BE0E97"/>
    <w:rsid w:val="00BE2739"/>
    <w:rsid w:val="00BE2919"/>
    <w:rsid w:val="00BE36B2"/>
    <w:rsid w:val="00BE7D57"/>
    <w:rsid w:val="00BF1EEA"/>
    <w:rsid w:val="00BF7E03"/>
    <w:rsid w:val="00C009B5"/>
    <w:rsid w:val="00C040D9"/>
    <w:rsid w:val="00C04B17"/>
    <w:rsid w:val="00C04DE8"/>
    <w:rsid w:val="00C12E90"/>
    <w:rsid w:val="00C158A4"/>
    <w:rsid w:val="00C16BDB"/>
    <w:rsid w:val="00C21B3C"/>
    <w:rsid w:val="00C26CAE"/>
    <w:rsid w:val="00C3190F"/>
    <w:rsid w:val="00C32B96"/>
    <w:rsid w:val="00C35FCC"/>
    <w:rsid w:val="00C45723"/>
    <w:rsid w:val="00C46C4D"/>
    <w:rsid w:val="00C52D37"/>
    <w:rsid w:val="00C53C7E"/>
    <w:rsid w:val="00C55090"/>
    <w:rsid w:val="00C624B5"/>
    <w:rsid w:val="00C70039"/>
    <w:rsid w:val="00C72405"/>
    <w:rsid w:val="00C82E77"/>
    <w:rsid w:val="00C91620"/>
    <w:rsid w:val="00C9215E"/>
    <w:rsid w:val="00C930DC"/>
    <w:rsid w:val="00C9326C"/>
    <w:rsid w:val="00C94DC7"/>
    <w:rsid w:val="00CA2C32"/>
    <w:rsid w:val="00CB2554"/>
    <w:rsid w:val="00CB4149"/>
    <w:rsid w:val="00CB5806"/>
    <w:rsid w:val="00CB712C"/>
    <w:rsid w:val="00CB729E"/>
    <w:rsid w:val="00CC0761"/>
    <w:rsid w:val="00CC1C9D"/>
    <w:rsid w:val="00CD44F7"/>
    <w:rsid w:val="00CD70C8"/>
    <w:rsid w:val="00CE3C67"/>
    <w:rsid w:val="00CE5B95"/>
    <w:rsid w:val="00CF017D"/>
    <w:rsid w:val="00D00FDC"/>
    <w:rsid w:val="00D06760"/>
    <w:rsid w:val="00D14866"/>
    <w:rsid w:val="00D14C3A"/>
    <w:rsid w:val="00D14D35"/>
    <w:rsid w:val="00D2032F"/>
    <w:rsid w:val="00D22064"/>
    <w:rsid w:val="00D456FD"/>
    <w:rsid w:val="00D45D30"/>
    <w:rsid w:val="00D45E98"/>
    <w:rsid w:val="00D50489"/>
    <w:rsid w:val="00D5072A"/>
    <w:rsid w:val="00D50C30"/>
    <w:rsid w:val="00D558D5"/>
    <w:rsid w:val="00D61354"/>
    <w:rsid w:val="00D62DB5"/>
    <w:rsid w:val="00D62E88"/>
    <w:rsid w:val="00D6549B"/>
    <w:rsid w:val="00D65922"/>
    <w:rsid w:val="00D70B33"/>
    <w:rsid w:val="00D80B80"/>
    <w:rsid w:val="00D848F5"/>
    <w:rsid w:val="00D87F8B"/>
    <w:rsid w:val="00DA3C04"/>
    <w:rsid w:val="00DA3C5B"/>
    <w:rsid w:val="00DB3AEB"/>
    <w:rsid w:val="00DB5797"/>
    <w:rsid w:val="00DC3844"/>
    <w:rsid w:val="00DD1349"/>
    <w:rsid w:val="00DD1665"/>
    <w:rsid w:val="00DD2A52"/>
    <w:rsid w:val="00DD304D"/>
    <w:rsid w:val="00DD7CB8"/>
    <w:rsid w:val="00DE2EBB"/>
    <w:rsid w:val="00DE457F"/>
    <w:rsid w:val="00DE747D"/>
    <w:rsid w:val="00DF03B4"/>
    <w:rsid w:val="00E0141F"/>
    <w:rsid w:val="00E04293"/>
    <w:rsid w:val="00E045F1"/>
    <w:rsid w:val="00E0675D"/>
    <w:rsid w:val="00E117E1"/>
    <w:rsid w:val="00E21446"/>
    <w:rsid w:val="00E22D70"/>
    <w:rsid w:val="00E24C55"/>
    <w:rsid w:val="00E25300"/>
    <w:rsid w:val="00E3051F"/>
    <w:rsid w:val="00E30D03"/>
    <w:rsid w:val="00E3644D"/>
    <w:rsid w:val="00E40348"/>
    <w:rsid w:val="00E43E59"/>
    <w:rsid w:val="00E51A06"/>
    <w:rsid w:val="00E62BB7"/>
    <w:rsid w:val="00E70C4D"/>
    <w:rsid w:val="00E71601"/>
    <w:rsid w:val="00E7215B"/>
    <w:rsid w:val="00E8153C"/>
    <w:rsid w:val="00E82340"/>
    <w:rsid w:val="00E83645"/>
    <w:rsid w:val="00E87221"/>
    <w:rsid w:val="00E9597B"/>
    <w:rsid w:val="00EA00A9"/>
    <w:rsid w:val="00EA67DC"/>
    <w:rsid w:val="00EA746D"/>
    <w:rsid w:val="00EB144F"/>
    <w:rsid w:val="00EB71F0"/>
    <w:rsid w:val="00EB75CB"/>
    <w:rsid w:val="00EC1C02"/>
    <w:rsid w:val="00EC468D"/>
    <w:rsid w:val="00ED061C"/>
    <w:rsid w:val="00ED5B66"/>
    <w:rsid w:val="00EE379C"/>
    <w:rsid w:val="00EE546E"/>
    <w:rsid w:val="00EE5E7B"/>
    <w:rsid w:val="00EF6438"/>
    <w:rsid w:val="00F02AEC"/>
    <w:rsid w:val="00F13209"/>
    <w:rsid w:val="00F13EEB"/>
    <w:rsid w:val="00F24101"/>
    <w:rsid w:val="00F27E56"/>
    <w:rsid w:val="00F3062E"/>
    <w:rsid w:val="00F313A9"/>
    <w:rsid w:val="00F37C9D"/>
    <w:rsid w:val="00F441AA"/>
    <w:rsid w:val="00F50E90"/>
    <w:rsid w:val="00F528B3"/>
    <w:rsid w:val="00F53097"/>
    <w:rsid w:val="00F64B31"/>
    <w:rsid w:val="00F64BFF"/>
    <w:rsid w:val="00F64CC4"/>
    <w:rsid w:val="00F73039"/>
    <w:rsid w:val="00F730CE"/>
    <w:rsid w:val="00F73C54"/>
    <w:rsid w:val="00F7484C"/>
    <w:rsid w:val="00F75822"/>
    <w:rsid w:val="00F8377B"/>
    <w:rsid w:val="00F8482A"/>
    <w:rsid w:val="00F84BA9"/>
    <w:rsid w:val="00F875A6"/>
    <w:rsid w:val="00F91CAD"/>
    <w:rsid w:val="00F95A0A"/>
    <w:rsid w:val="00F97794"/>
    <w:rsid w:val="00F97DEC"/>
    <w:rsid w:val="00FA41B6"/>
    <w:rsid w:val="00FA580C"/>
    <w:rsid w:val="00FA5B05"/>
    <w:rsid w:val="00FB6494"/>
    <w:rsid w:val="00FD3435"/>
    <w:rsid w:val="00FD45B4"/>
    <w:rsid w:val="00FD6EF2"/>
    <w:rsid w:val="00FD787A"/>
    <w:rsid w:val="00FE075B"/>
    <w:rsid w:val="00FE1884"/>
    <w:rsid w:val="00FE64CC"/>
    <w:rsid w:val="00FE7DEF"/>
    <w:rsid w:val="00FF0294"/>
    <w:rsid w:val="00FF2EDF"/>
    <w:rsid w:val="00FF56DB"/>
    <w:rsid w:val="00FF6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F84F3"/>
  <w15:chartTrackingRefBased/>
  <w15:docId w15:val="{D48DA9FE-B26F-43E5-8783-41647527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A5E"/>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0E9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50E90"/>
    <w:rPr>
      <w:sz w:val="18"/>
      <w:szCs w:val="18"/>
    </w:rPr>
  </w:style>
  <w:style w:type="paragraph" w:styleId="a5">
    <w:name w:val="footer"/>
    <w:basedOn w:val="a"/>
    <w:link w:val="a6"/>
    <w:uiPriority w:val="99"/>
    <w:unhideWhenUsed/>
    <w:rsid w:val="00F50E90"/>
    <w:pPr>
      <w:tabs>
        <w:tab w:val="center" w:pos="4153"/>
        <w:tab w:val="right" w:pos="8306"/>
      </w:tabs>
      <w:snapToGrid w:val="0"/>
      <w:jc w:val="left"/>
    </w:pPr>
    <w:rPr>
      <w:sz w:val="18"/>
      <w:szCs w:val="18"/>
    </w:rPr>
  </w:style>
  <w:style w:type="character" w:customStyle="1" w:styleId="a6">
    <w:name w:val="页脚 字符"/>
    <w:basedOn w:val="a0"/>
    <w:link w:val="a5"/>
    <w:uiPriority w:val="99"/>
    <w:rsid w:val="00F50E90"/>
    <w:rPr>
      <w:sz w:val="18"/>
      <w:szCs w:val="18"/>
    </w:rPr>
  </w:style>
  <w:style w:type="paragraph" w:styleId="a7">
    <w:name w:val="Normal (Web)"/>
    <w:basedOn w:val="a"/>
    <w:uiPriority w:val="99"/>
    <w:semiHidden/>
    <w:unhideWhenUsed/>
    <w:rsid w:val="00C82E77"/>
    <w:pPr>
      <w:widowControl/>
      <w:spacing w:before="100" w:beforeAutospacing="1" w:after="100" w:afterAutospacing="1"/>
      <w:jc w:val="left"/>
    </w:pPr>
    <w:rPr>
      <w:rFonts w:ascii="宋体" w:eastAsia="宋体" w:hAnsi="宋体" w:cs="宋体"/>
      <w:kern w:val="0"/>
      <w:sz w:val="24"/>
      <w:szCs w:val="24"/>
    </w:rPr>
  </w:style>
  <w:style w:type="character" w:styleId="a8">
    <w:name w:val="line number"/>
    <w:basedOn w:val="a0"/>
    <w:uiPriority w:val="99"/>
    <w:semiHidden/>
    <w:unhideWhenUsed/>
    <w:rsid w:val="00483A5E"/>
  </w:style>
  <w:style w:type="paragraph" w:styleId="a9">
    <w:name w:val="Balloon Text"/>
    <w:basedOn w:val="a"/>
    <w:link w:val="aa"/>
    <w:uiPriority w:val="99"/>
    <w:semiHidden/>
    <w:unhideWhenUsed/>
    <w:rsid w:val="001A03FB"/>
    <w:rPr>
      <w:sz w:val="18"/>
      <w:szCs w:val="18"/>
    </w:rPr>
  </w:style>
  <w:style w:type="character" w:customStyle="1" w:styleId="aa">
    <w:name w:val="批注框文本 字符"/>
    <w:basedOn w:val="a0"/>
    <w:link w:val="a9"/>
    <w:uiPriority w:val="99"/>
    <w:semiHidden/>
    <w:rsid w:val="001A03FB"/>
    <w:rPr>
      <w:rFonts w:ascii="Times New Roman" w:hAnsi="Times New Roman"/>
      <w:sz w:val="18"/>
      <w:szCs w:val="18"/>
    </w:rPr>
  </w:style>
  <w:style w:type="character" w:styleId="ab">
    <w:name w:val="annotation reference"/>
    <w:basedOn w:val="a0"/>
    <w:uiPriority w:val="99"/>
    <w:semiHidden/>
    <w:unhideWhenUsed/>
    <w:rsid w:val="00924274"/>
    <w:rPr>
      <w:sz w:val="21"/>
      <w:szCs w:val="21"/>
    </w:rPr>
  </w:style>
  <w:style w:type="paragraph" w:styleId="ac">
    <w:name w:val="annotation text"/>
    <w:basedOn w:val="a"/>
    <w:link w:val="ad"/>
    <w:uiPriority w:val="99"/>
    <w:semiHidden/>
    <w:unhideWhenUsed/>
    <w:rsid w:val="00924274"/>
    <w:pPr>
      <w:jc w:val="left"/>
    </w:pPr>
  </w:style>
  <w:style w:type="character" w:customStyle="1" w:styleId="ad">
    <w:name w:val="批注文字 字符"/>
    <w:basedOn w:val="a0"/>
    <w:link w:val="ac"/>
    <w:uiPriority w:val="99"/>
    <w:semiHidden/>
    <w:rsid w:val="00924274"/>
    <w:rPr>
      <w:rFonts w:ascii="Times New Roman" w:hAnsi="Times New Roman"/>
    </w:rPr>
  </w:style>
  <w:style w:type="paragraph" w:styleId="ae">
    <w:name w:val="annotation subject"/>
    <w:basedOn w:val="ac"/>
    <w:next w:val="ac"/>
    <w:link w:val="af"/>
    <w:uiPriority w:val="99"/>
    <w:semiHidden/>
    <w:unhideWhenUsed/>
    <w:rsid w:val="00924274"/>
    <w:rPr>
      <w:b/>
      <w:bCs/>
    </w:rPr>
  </w:style>
  <w:style w:type="character" w:customStyle="1" w:styleId="af">
    <w:name w:val="批注主题 字符"/>
    <w:basedOn w:val="ad"/>
    <w:link w:val="ae"/>
    <w:uiPriority w:val="99"/>
    <w:semiHidden/>
    <w:rsid w:val="00924274"/>
    <w:rPr>
      <w:rFonts w:ascii="Times New Roman" w:hAnsi="Times New Roman"/>
      <w:b/>
      <w:bCs/>
    </w:rPr>
  </w:style>
  <w:style w:type="table" w:styleId="af0">
    <w:name w:val="Table Grid"/>
    <w:basedOn w:val="a1"/>
    <w:uiPriority w:val="39"/>
    <w:rsid w:val="00DE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672918">
      <w:bodyDiv w:val="1"/>
      <w:marLeft w:val="0"/>
      <w:marRight w:val="0"/>
      <w:marTop w:val="0"/>
      <w:marBottom w:val="0"/>
      <w:divBdr>
        <w:top w:val="none" w:sz="0" w:space="0" w:color="auto"/>
        <w:left w:val="none" w:sz="0" w:space="0" w:color="auto"/>
        <w:bottom w:val="none" w:sz="0" w:space="0" w:color="auto"/>
        <w:right w:val="none" w:sz="0" w:space="0" w:color="auto"/>
      </w:divBdr>
      <w:divsChild>
        <w:div w:id="735476849">
          <w:marLeft w:val="0"/>
          <w:marRight w:val="0"/>
          <w:marTop w:val="0"/>
          <w:marBottom w:val="0"/>
          <w:divBdr>
            <w:top w:val="none" w:sz="0" w:space="0" w:color="auto"/>
            <w:left w:val="none" w:sz="0" w:space="0" w:color="auto"/>
            <w:bottom w:val="none" w:sz="0" w:space="0" w:color="auto"/>
            <w:right w:val="none" w:sz="0" w:space="0" w:color="auto"/>
          </w:divBdr>
          <w:divsChild>
            <w:div w:id="862747221">
              <w:marLeft w:val="0"/>
              <w:marRight w:val="0"/>
              <w:marTop w:val="0"/>
              <w:marBottom w:val="0"/>
              <w:divBdr>
                <w:top w:val="none" w:sz="0" w:space="0" w:color="auto"/>
                <w:left w:val="none" w:sz="0" w:space="0" w:color="auto"/>
                <w:bottom w:val="none" w:sz="0" w:space="0" w:color="auto"/>
                <w:right w:val="none" w:sz="0" w:space="0" w:color="auto"/>
              </w:divBdr>
              <w:divsChild>
                <w:div w:id="12661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DB400-31A3-46FD-B15A-9EE5E8A7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那馨竹</dc:creator>
  <cp:keywords/>
  <dc:description/>
  <cp:lastModifiedBy>那馨竹</cp:lastModifiedBy>
  <cp:revision>29</cp:revision>
  <cp:lastPrinted>2020-01-16T07:31:00Z</cp:lastPrinted>
  <dcterms:created xsi:type="dcterms:W3CDTF">2019-10-30T06:03:00Z</dcterms:created>
  <dcterms:modified xsi:type="dcterms:W3CDTF">2020-02-19T07:19:00Z</dcterms:modified>
</cp:coreProperties>
</file>