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9F1" w:rsidRDefault="00A679F1" w:rsidP="00A679F1">
      <w:pPr>
        <w:rPr>
          <w:rFonts w:ascii="黑体" w:eastAsia="黑体" w:hAnsi="黑体" w:cs="Arial"/>
          <w:kern w:val="0"/>
          <w:sz w:val="32"/>
          <w:szCs w:val="32"/>
        </w:rPr>
      </w:pPr>
      <w:r>
        <w:rPr>
          <w:rFonts w:ascii="黑体" w:eastAsia="黑体" w:hAnsi="黑体" w:cs="Arial" w:hint="eastAsia"/>
          <w:kern w:val="0"/>
          <w:sz w:val="32"/>
          <w:szCs w:val="32"/>
        </w:rPr>
        <w:t>附件</w:t>
      </w:r>
      <w:r>
        <w:rPr>
          <w:rFonts w:ascii="黑体" w:eastAsia="黑体" w:hAnsi="黑体" w:cs="Arial"/>
          <w:kern w:val="0"/>
          <w:sz w:val="32"/>
          <w:szCs w:val="32"/>
        </w:rPr>
        <w:t>1</w:t>
      </w:r>
    </w:p>
    <w:p w:rsidR="00A679F1" w:rsidRDefault="00A679F1" w:rsidP="00A679F1">
      <w:pPr>
        <w:spacing w:line="360" w:lineRule="auto"/>
        <w:jc w:val="center"/>
        <w:rPr>
          <w:rFonts w:ascii="黑体" w:eastAsia="黑体" w:hAnsi="黑体"/>
          <w:b/>
          <w:sz w:val="32"/>
          <w:szCs w:val="28"/>
        </w:rPr>
      </w:pPr>
      <w:r>
        <w:rPr>
          <w:rFonts w:ascii="黑体" w:eastAsia="黑体" w:hAnsi="黑体" w:hint="eastAsia"/>
          <w:b/>
          <w:sz w:val="32"/>
          <w:szCs w:val="28"/>
        </w:rPr>
        <w:t>曲妥珠单抗注射液生物类似药临床试验指导原则</w:t>
      </w:r>
    </w:p>
    <w:p w:rsidR="00A679F1" w:rsidRDefault="00A679F1" w:rsidP="00A679F1">
      <w:pPr>
        <w:spacing w:line="360" w:lineRule="auto"/>
        <w:jc w:val="center"/>
        <w:rPr>
          <w:rFonts w:ascii="Times New Roman" w:eastAsia="宋体" w:hAnsi="Times New Roman"/>
          <w:b/>
          <w:sz w:val="24"/>
          <w:szCs w:val="24"/>
        </w:rPr>
      </w:pPr>
      <w:r>
        <w:rPr>
          <w:rFonts w:ascii="黑体" w:eastAsia="黑体" w:hAnsi="黑体" w:hint="eastAsia"/>
          <w:b/>
          <w:sz w:val="32"/>
          <w:szCs w:val="28"/>
        </w:rPr>
        <w:t>（征求意见稿）</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hint="eastAsia"/>
          <w:b/>
          <w:sz w:val="24"/>
          <w:szCs w:val="24"/>
        </w:rPr>
        <w:t>一、概述</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曲妥珠单抗（</w:t>
      </w:r>
      <w:r>
        <w:rPr>
          <w:rFonts w:ascii="Times New Roman" w:eastAsia="宋体" w:hAnsi="Times New Roman"/>
          <w:sz w:val="24"/>
          <w:szCs w:val="24"/>
        </w:rPr>
        <w:t>Trastuzumab</w:t>
      </w:r>
      <w:r>
        <w:rPr>
          <w:rFonts w:ascii="Times New Roman" w:eastAsia="宋体" w:hAnsi="Times New Roman" w:hint="eastAsia"/>
          <w:sz w:val="24"/>
          <w:szCs w:val="24"/>
        </w:rPr>
        <w:t>）是由瑞士罗氏公司研发的一种重组</w:t>
      </w:r>
      <w:r>
        <w:rPr>
          <w:rFonts w:ascii="Times New Roman" w:eastAsia="宋体" w:hAnsi="Times New Roman"/>
          <w:sz w:val="24"/>
          <w:szCs w:val="24"/>
        </w:rPr>
        <w:t>DNA</w:t>
      </w:r>
      <w:r>
        <w:rPr>
          <w:rFonts w:ascii="Times New Roman" w:eastAsia="宋体" w:hAnsi="Times New Roman" w:hint="eastAsia"/>
          <w:sz w:val="24"/>
          <w:szCs w:val="24"/>
        </w:rPr>
        <w:t>衍生的人源化单克隆抗体，含人</w:t>
      </w:r>
      <w:r>
        <w:rPr>
          <w:rFonts w:ascii="Times New Roman" w:eastAsia="宋体" w:hAnsi="Times New Roman"/>
          <w:sz w:val="24"/>
          <w:szCs w:val="24"/>
        </w:rPr>
        <w:t>IgG1</w:t>
      </w:r>
      <w:r>
        <w:rPr>
          <w:rFonts w:ascii="Times New Roman" w:eastAsia="宋体" w:hAnsi="Times New Roman" w:hint="eastAsia"/>
          <w:sz w:val="24"/>
          <w:szCs w:val="24"/>
        </w:rPr>
        <w:t>亚型框架，互补决定区源自鼠抗</w:t>
      </w:r>
      <w:r>
        <w:rPr>
          <w:rFonts w:ascii="Times New Roman" w:eastAsia="宋体" w:hAnsi="Times New Roman"/>
          <w:sz w:val="24"/>
          <w:szCs w:val="24"/>
        </w:rPr>
        <w:t xml:space="preserve">p185 HER2 </w:t>
      </w:r>
      <w:r>
        <w:rPr>
          <w:rFonts w:ascii="Times New Roman" w:eastAsia="宋体" w:hAnsi="Times New Roman" w:hint="eastAsia"/>
          <w:sz w:val="24"/>
          <w:szCs w:val="24"/>
        </w:rPr>
        <w:t>抗体，能够特异性地作用于人表皮生长因子受体</w:t>
      </w:r>
      <w:r>
        <w:rPr>
          <w:rFonts w:ascii="Times New Roman" w:eastAsia="宋体" w:hAnsi="Times New Roman"/>
          <w:sz w:val="24"/>
          <w:szCs w:val="24"/>
        </w:rPr>
        <w:t>-2(human epidermal growth factor receptor-2</w:t>
      </w:r>
      <w:r>
        <w:rPr>
          <w:rFonts w:ascii="Times New Roman" w:eastAsia="宋体" w:hAnsi="Times New Roman" w:hint="eastAsia"/>
          <w:sz w:val="24"/>
          <w:szCs w:val="24"/>
        </w:rPr>
        <w:t>，</w:t>
      </w:r>
      <w:r>
        <w:rPr>
          <w:rFonts w:ascii="Times New Roman" w:eastAsia="宋体" w:hAnsi="Times New Roman"/>
          <w:sz w:val="24"/>
          <w:szCs w:val="24"/>
        </w:rPr>
        <w:t>HER-2)</w:t>
      </w:r>
      <w:r>
        <w:rPr>
          <w:rFonts w:ascii="Times New Roman" w:eastAsia="宋体" w:hAnsi="Times New Roman" w:hint="eastAsia"/>
          <w:sz w:val="24"/>
          <w:szCs w:val="24"/>
        </w:rPr>
        <w:t>的细胞外部位第</w:t>
      </w:r>
      <w:r>
        <w:rPr>
          <w:rFonts w:ascii="Times New Roman" w:eastAsia="宋体" w:hAnsi="Times New Roman"/>
          <w:sz w:val="24"/>
          <w:szCs w:val="24"/>
        </w:rPr>
        <w:t>IV</w:t>
      </w:r>
      <w:r>
        <w:rPr>
          <w:rFonts w:ascii="Times New Roman" w:eastAsia="宋体" w:hAnsi="Times New Roman" w:hint="eastAsia"/>
          <w:sz w:val="24"/>
          <w:szCs w:val="24"/>
        </w:rPr>
        <w:t>亚区，竞争性阻断人体表皮生长因子与</w:t>
      </w:r>
      <w:r>
        <w:rPr>
          <w:rFonts w:ascii="Times New Roman" w:eastAsia="宋体" w:hAnsi="Times New Roman"/>
          <w:sz w:val="24"/>
          <w:szCs w:val="24"/>
        </w:rPr>
        <w:t>HER2</w:t>
      </w:r>
      <w:r>
        <w:rPr>
          <w:rFonts w:ascii="Times New Roman" w:eastAsia="宋体" w:hAnsi="Times New Roman" w:hint="eastAsia"/>
          <w:sz w:val="24"/>
          <w:szCs w:val="24"/>
        </w:rPr>
        <w:t>的结合，从而抑制肿瘤细胞的生长。</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罗氏公司的注射用曲妥珠单抗（</w:t>
      </w:r>
      <w:r>
        <w:rPr>
          <w:rFonts w:ascii="Times New Roman" w:eastAsia="宋体" w:hAnsi="Times New Roman"/>
          <w:sz w:val="24"/>
          <w:szCs w:val="24"/>
        </w:rPr>
        <w:t>Herceptin</w:t>
      </w:r>
      <w:r>
        <w:rPr>
          <w:rFonts w:ascii="Times New Roman" w:eastAsia="宋体" w:hAnsi="Times New Roman"/>
          <w:sz w:val="24"/>
          <w:szCs w:val="24"/>
          <w:vertAlign w:val="superscript"/>
        </w:rPr>
        <w:t>®</w:t>
      </w:r>
      <w:r>
        <w:rPr>
          <w:rFonts w:ascii="Times New Roman" w:eastAsia="宋体" w:hAnsi="Times New Roman" w:hint="eastAsia"/>
          <w:sz w:val="24"/>
          <w:szCs w:val="24"/>
        </w:rPr>
        <w:t>，赫赛汀</w:t>
      </w:r>
      <w:r>
        <w:rPr>
          <w:rFonts w:ascii="Times New Roman" w:eastAsia="宋体" w:hAnsi="Times New Roman"/>
          <w:sz w:val="24"/>
          <w:szCs w:val="24"/>
          <w:vertAlign w:val="superscript"/>
        </w:rPr>
        <w:t>®</w:t>
      </w:r>
      <w:r>
        <w:rPr>
          <w:rFonts w:ascii="Times New Roman" w:eastAsia="宋体" w:hAnsi="Times New Roman" w:hint="eastAsia"/>
          <w:sz w:val="24"/>
          <w:szCs w:val="24"/>
        </w:rPr>
        <w:t>）最早于</w:t>
      </w:r>
      <w:r>
        <w:rPr>
          <w:rFonts w:ascii="Times New Roman" w:eastAsia="宋体" w:hAnsi="Times New Roman"/>
          <w:sz w:val="24"/>
          <w:szCs w:val="24"/>
        </w:rPr>
        <w:t>1998</w:t>
      </w:r>
      <w:r>
        <w:rPr>
          <w:rFonts w:ascii="Times New Roman" w:eastAsia="宋体" w:hAnsi="Times New Roman" w:hint="eastAsia"/>
          <w:sz w:val="24"/>
          <w:szCs w:val="24"/>
        </w:rPr>
        <w:t>年</w:t>
      </w:r>
      <w:r>
        <w:rPr>
          <w:rFonts w:ascii="Times New Roman" w:eastAsia="宋体" w:hAnsi="Times New Roman"/>
          <w:sz w:val="24"/>
          <w:szCs w:val="24"/>
        </w:rPr>
        <w:t>9</w:t>
      </w:r>
      <w:r>
        <w:rPr>
          <w:rFonts w:ascii="Times New Roman" w:eastAsia="宋体" w:hAnsi="Times New Roman" w:hint="eastAsia"/>
          <w:sz w:val="24"/>
          <w:szCs w:val="24"/>
        </w:rPr>
        <w:t>月</w:t>
      </w:r>
      <w:r>
        <w:rPr>
          <w:rFonts w:ascii="Times New Roman" w:eastAsia="宋体" w:hAnsi="Times New Roman"/>
          <w:sz w:val="24"/>
          <w:szCs w:val="24"/>
        </w:rPr>
        <w:t>25</w:t>
      </w:r>
      <w:r>
        <w:rPr>
          <w:rFonts w:ascii="Times New Roman" w:eastAsia="宋体" w:hAnsi="Times New Roman" w:hint="eastAsia"/>
          <w:sz w:val="24"/>
          <w:szCs w:val="24"/>
        </w:rPr>
        <w:t>日获得美国</w:t>
      </w:r>
      <w:r>
        <w:rPr>
          <w:rFonts w:ascii="Times New Roman" w:eastAsia="宋体" w:hAnsi="Times New Roman"/>
          <w:sz w:val="24"/>
          <w:szCs w:val="24"/>
        </w:rPr>
        <w:t>FDA</w:t>
      </w:r>
      <w:r>
        <w:rPr>
          <w:rFonts w:ascii="Times New Roman" w:eastAsia="宋体" w:hAnsi="Times New Roman" w:hint="eastAsia"/>
          <w:sz w:val="24"/>
          <w:szCs w:val="24"/>
        </w:rPr>
        <w:t>批准上市，</w:t>
      </w:r>
      <w:r>
        <w:rPr>
          <w:rFonts w:ascii="Times New Roman" w:eastAsia="宋体" w:hAnsi="Times New Roman"/>
          <w:sz w:val="24"/>
          <w:szCs w:val="24"/>
        </w:rPr>
        <w:t>2002</w:t>
      </w:r>
      <w:r>
        <w:rPr>
          <w:rFonts w:ascii="Times New Roman" w:eastAsia="宋体" w:hAnsi="Times New Roman" w:hint="eastAsia"/>
          <w:sz w:val="24"/>
          <w:szCs w:val="24"/>
        </w:rPr>
        <w:t>年进口中国，目前获批的适应症为：单药用于治疗</w:t>
      </w:r>
      <w:r>
        <w:rPr>
          <w:rFonts w:ascii="Times New Roman" w:eastAsia="宋体" w:hAnsi="Times New Roman"/>
          <w:sz w:val="24"/>
          <w:szCs w:val="24"/>
        </w:rPr>
        <w:t>HER2</w:t>
      </w:r>
      <w:r>
        <w:rPr>
          <w:rFonts w:ascii="Times New Roman" w:eastAsia="宋体" w:hAnsi="Times New Roman" w:hint="eastAsia"/>
          <w:sz w:val="24"/>
          <w:szCs w:val="24"/>
        </w:rPr>
        <w:t>阳性转移性乳腺癌；联合紫杉醇或者多西他赛用于</w:t>
      </w:r>
      <w:r>
        <w:rPr>
          <w:rFonts w:ascii="Times New Roman" w:eastAsia="宋体" w:hAnsi="Times New Roman"/>
          <w:sz w:val="24"/>
          <w:szCs w:val="24"/>
        </w:rPr>
        <w:t>HER2</w:t>
      </w:r>
      <w:r>
        <w:rPr>
          <w:rFonts w:ascii="Times New Roman" w:eastAsia="宋体" w:hAnsi="Times New Roman" w:hint="eastAsia"/>
          <w:sz w:val="24"/>
          <w:szCs w:val="24"/>
        </w:rPr>
        <w:t>阳性转移性乳腺癌；</w:t>
      </w:r>
      <w:r>
        <w:rPr>
          <w:rFonts w:ascii="Times New Roman" w:eastAsia="宋体" w:hAnsi="Times New Roman"/>
          <w:sz w:val="24"/>
          <w:szCs w:val="24"/>
        </w:rPr>
        <w:t>HER2</w:t>
      </w:r>
      <w:r>
        <w:rPr>
          <w:rFonts w:ascii="Times New Roman" w:eastAsia="宋体" w:hAnsi="Times New Roman" w:hint="eastAsia"/>
          <w:sz w:val="24"/>
          <w:szCs w:val="24"/>
        </w:rPr>
        <w:t>阳性的早期乳腺癌；</w:t>
      </w:r>
      <w:r>
        <w:rPr>
          <w:rFonts w:ascii="Times New Roman" w:eastAsia="宋体" w:hAnsi="Times New Roman"/>
          <w:sz w:val="24"/>
          <w:szCs w:val="24"/>
        </w:rPr>
        <w:t>HER2</w:t>
      </w:r>
      <w:r>
        <w:rPr>
          <w:rFonts w:ascii="Times New Roman" w:eastAsia="宋体" w:hAnsi="Times New Roman" w:hint="eastAsia"/>
          <w:sz w:val="24"/>
          <w:szCs w:val="24"/>
        </w:rPr>
        <w:t>阳性的转移性胃癌</w:t>
      </w:r>
      <w:r>
        <w:rPr>
          <w:rFonts w:ascii="Times New Roman" w:eastAsia="宋体" w:hAnsi="Times New Roman"/>
          <w:sz w:val="24"/>
          <w:szCs w:val="24"/>
          <w:vertAlign w:val="superscript"/>
        </w:rPr>
        <w:t>[1]</w:t>
      </w:r>
      <w:r>
        <w:rPr>
          <w:rFonts w:ascii="Times New Roman" w:eastAsia="宋体" w:hAnsi="Times New Roman" w:hint="eastAsia"/>
          <w:sz w:val="24"/>
          <w:szCs w:val="24"/>
        </w:rPr>
        <w:t>。</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曲妥珠单抗在欧盟和美国的专利已到期，其生物类似药的研发成为热点，目前</w:t>
      </w:r>
      <w:r>
        <w:rPr>
          <w:rFonts w:ascii="Times New Roman" w:eastAsia="宋体" w:hAnsi="Times New Roman"/>
          <w:sz w:val="24"/>
          <w:szCs w:val="24"/>
        </w:rPr>
        <w:t>FDA</w:t>
      </w:r>
      <w:r>
        <w:rPr>
          <w:rFonts w:ascii="Times New Roman" w:eastAsia="宋体" w:hAnsi="Times New Roman" w:hint="eastAsia"/>
          <w:sz w:val="24"/>
          <w:szCs w:val="24"/>
        </w:rPr>
        <w:t>和欧盟已批准多个曲妥珠单抗生物类似药上市。本指导原则在</w:t>
      </w:r>
      <w:r>
        <w:rPr>
          <w:rFonts w:ascii="Times New Roman" w:eastAsia="宋体" w:hAnsi="Times New Roman"/>
          <w:sz w:val="24"/>
          <w:szCs w:val="24"/>
        </w:rPr>
        <w:t>NMPA</w:t>
      </w:r>
      <w:r>
        <w:rPr>
          <w:rFonts w:ascii="Times New Roman" w:eastAsia="宋体" w:hAnsi="Times New Roman" w:hint="eastAsia"/>
          <w:sz w:val="24"/>
          <w:szCs w:val="24"/>
        </w:rPr>
        <w:t>已发布的《生物类似药研发与评价技术指导原则（试行）》</w:t>
      </w:r>
      <w:r>
        <w:rPr>
          <w:rFonts w:ascii="Times New Roman" w:eastAsia="宋体" w:hAnsi="Times New Roman"/>
          <w:sz w:val="24"/>
          <w:szCs w:val="24"/>
          <w:vertAlign w:val="superscript"/>
        </w:rPr>
        <w:t>[2]</w:t>
      </w:r>
      <w:r>
        <w:rPr>
          <w:rFonts w:ascii="Times New Roman" w:eastAsia="宋体" w:hAnsi="Times New Roman" w:hint="eastAsia"/>
          <w:sz w:val="24"/>
          <w:szCs w:val="24"/>
        </w:rPr>
        <w:t>基础上，结合该品种的特点，对曲妥珠单抗生物类似药的临床研究策略和方案设计要点进行探讨，以期为研发相关人员提供参考。</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hint="eastAsia"/>
          <w:b/>
          <w:sz w:val="24"/>
          <w:szCs w:val="24"/>
        </w:rPr>
        <w:t>二、曲妥珠单抗生物类似药临床研究策略</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生物类似药研发总体思路是以比对试验证明其与参照药的相似性为基础，支持其安全、有效和质量可控。采用逐步递进的顺序，分阶段开展药学、非临床、临床比对试验。根据前期比对试验结果设计后续比对试验研究。</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根据前期药学和药理毒理比对试验结果，曲妥珠单抗生物类似药的临床研发，药学和药理毒理试验证明候选药与赫赛汀相似，申请人继续按照生物类似药的路径开展药代动力学比对试验和临床安全有效性比对试验。鉴于赫赛汀在国内获批多个适应症，临床安全有效性比对试验可能会出现以下几种选择：</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a. </w:t>
      </w:r>
      <w:r>
        <w:rPr>
          <w:rFonts w:ascii="Times New Roman" w:eastAsia="宋体" w:hAnsi="Times New Roman" w:hint="eastAsia"/>
          <w:sz w:val="24"/>
          <w:szCs w:val="24"/>
        </w:rPr>
        <w:t>选择国内批准适应症：</w:t>
      </w:r>
      <w:r>
        <w:rPr>
          <w:rFonts w:ascii="Times New Roman" w:eastAsia="宋体" w:hAnsi="Times New Roman"/>
          <w:sz w:val="24"/>
          <w:szCs w:val="24"/>
        </w:rPr>
        <w:t xml:space="preserve"> “</w:t>
      </w:r>
      <w:r>
        <w:rPr>
          <w:rFonts w:ascii="Times New Roman" w:eastAsia="宋体" w:hAnsi="Times New Roman" w:hint="eastAsia"/>
          <w:sz w:val="24"/>
          <w:szCs w:val="24"/>
        </w:rPr>
        <w:t>未接受过化疗的</w:t>
      </w:r>
      <w:r>
        <w:rPr>
          <w:rFonts w:ascii="Times New Roman" w:eastAsia="宋体" w:hAnsi="Times New Roman"/>
          <w:sz w:val="24"/>
          <w:szCs w:val="24"/>
        </w:rPr>
        <w:t>HER2</w:t>
      </w:r>
      <w:r>
        <w:rPr>
          <w:rFonts w:ascii="Times New Roman" w:eastAsia="宋体" w:hAnsi="Times New Roman" w:hint="eastAsia"/>
          <w:sz w:val="24"/>
          <w:szCs w:val="24"/>
        </w:rPr>
        <w:t>阳性转移性乳腺癌（</w:t>
      </w:r>
      <w:r>
        <w:rPr>
          <w:rFonts w:ascii="Times New Roman" w:eastAsia="宋体" w:hAnsi="Times New Roman"/>
          <w:sz w:val="24"/>
          <w:szCs w:val="24"/>
        </w:rPr>
        <w:t>metastatic breast cancer</w:t>
      </w:r>
      <w:r>
        <w:rPr>
          <w:rFonts w:ascii="Times New Roman" w:eastAsia="宋体" w:hAnsi="Times New Roman" w:hint="eastAsia"/>
          <w:sz w:val="24"/>
          <w:szCs w:val="24"/>
        </w:rPr>
        <w:t>，</w:t>
      </w:r>
      <w:r>
        <w:rPr>
          <w:rFonts w:ascii="Times New Roman" w:eastAsia="宋体" w:hAnsi="Times New Roman"/>
          <w:sz w:val="24"/>
          <w:szCs w:val="24"/>
        </w:rPr>
        <w:t>MBC</w:t>
      </w:r>
      <w:r>
        <w:rPr>
          <w:rFonts w:ascii="Times New Roman" w:eastAsia="宋体" w:hAnsi="Times New Roman" w:hint="eastAsia"/>
          <w:sz w:val="24"/>
          <w:szCs w:val="24"/>
        </w:rPr>
        <w:t>）</w:t>
      </w:r>
      <w:r>
        <w:rPr>
          <w:rFonts w:ascii="Times New Roman" w:eastAsia="宋体" w:hAnsi="Times New Roman"/>
          <w:sz w:val="24"/>
          <w:szCs w:val="24"/>
        </w:rPr>
        <w:t>”</w:t>
      </w:r>
      <w:r>
        <w:rPr>
          <w:rFonts w:ascii="Times New Roman" w:eastAsia="宋体" w:hAnsi="Times New Roman" w:hint="eastAsia"/>
          <w:sz w:val="24"/>
          <w:szCs w:val="24"/>
        </w:rPr>
        <w:t>为研究人群，开展与赫赛汀</w:t>
      </w:r>
      <w:r>
        <w:rPr>
          <w:rFonts w:ascii="Times New Roman" w:eastAsia="宋体" w:hAnsi="Times New Roman"/>
          <w:sz w:val="24"/>
          <w:szCs w:val="24"/>
        </w:rPr>
        <w:t>“</w:t>
      </w:r>
      <w:r>
        <w:rPr>
          <w:rFonts w:ascii="Times New Roman" w:eastAsia="宋体" w:hAnsi="Times New Roman" w:hint="eastAsia"/>
          <w:sz w:val="24"/>
          <w:szCs w:val="24"/>
        </w:rPr>
        <w:t>头对头</w:t>
      </w:r>
      <w:r>
        <w:rPr>
          <w:rFonts w:ascii="Times New Roman" w:eastAsia="宋体" w:hAnsi="Times New Roman"/>
          <w:sz w:val="24"/>
          <w:szCs w:val="24"/>
        </w:rPr>
        <w:t>”</w:t>
      </w:r>
      <w:r>
        <w:rPr>
          <w:rFonts w:ascii="Times New Roman" w:eastAsia="宋体" w:hAnsi="Times New Roman" w:hint="eastAsia"/>
          <w:sz w:val="24"/>
          <w:szCs w:val="24"/>
        </w:rPr>
        <w:t>比较的等</w:t>
      </w:r>
      <w:r>
        <w:rPr>
          <w:rFonts w:ascii="Times New Roman" w:eastAsia="宋体" w:hAnsi="Times New Roman" w:hint="eastAsia"/>
          <w:sz w:val="24"/>
          <w:szCs w:val="24"/>
        </w:rPr>
        <w:lastRenderedPageBreak/>
        <w:t>效性研究，主要终点选择敏感的疗效指标客观缓解率（</w:t>
      </w:r>
      <w:r>
        <w:rPr>
          <w:rFonts w:ascii="Times New Roman" w:eastAsia="宋体" w:hAnsi="Times New Roman"/>
          <w:sz w:val="24"/>
          <w:szCs w:val="24"/>
        </w:rPr>
        <w:t>objective response rate</w:t>
      </w:r>
      <w:r>
        <w:rPr>
          <w:rFonts w:ascii="Times New Roman" w:eastAsia="宋体" w:hAnsi="Times New Roman" w:hint="eastAsia"/>
          <w:sz w:val="24"/>
          <w:szCs w:val="24"/>
        </w:rPr>
        <w:t>，</w:t>
      </w:r>
      <w:r>
        <w:rPr>
          <w:rFonts w:ascii="Times New Roman" w:eastAsia="宋体" w:hAnsi="Times New Roman"/>
          <w:sz w:val="24"/>
          <w:szCs w:val="24"/>
        </w:rPr>
        <w:t>ORR</w:t>
      </w:r>
      <w:r>
        <w:rPr>
          <w:rFonts w:ascii="Times New Roman" w:eastAsia="宋体" w:hAnsi="Times New Roman" w:hint="eastAsia"/>
          <w:sz w:val="24"/>
          <w:szCs w:val="24"/>
        </w:rPr>
        <w:t>）作为替代终点。</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b. </w:t>
      </w:r>
      <w:r>
        <w:rPr>
          <w:rFonts w:ascii="Times New Roman" w:eastAsia="宋体" w:hAnsi="Times New Roman" w:hint="eastAsia"/>
          <w:sz w:val="24"/>
          <w:szCs w:val="24"/>
        </w:rPr>
        <w:t>选择国内批准适应症：</w:t>
      </w:r>
      <w:r>
        <w:rPr>
          <w:rFonts w:ascii="Times New Roman" w:eastAsia="宋体" w:hAnsi="Times New Roman"/>
          <w:sz w:val="24"/>
          <w:szCs w:val="24"/>
        </w:rPr>
        <w:t>“HER2</w:t>
      </w:r>
      <w:r>
        <w:rPr>
          <w:rFonts w:ascii="Times New Roman" w:eastAsia="宋体" w:hAnsi="Times New Roman" w:hint="eastAsia"/>
          <w:sz w:val="24"/>
          <w:szCs w:val="24"/>
        </w:rPr>
        <w:t>阳性早期乳腺癌（</w:t>
      </w:r>
      <w:r>
        <w:rPr>
          <w:rFonts w:ascii="Times New Roman" w:eastAsia="宋体" w:hAnsi="Times New Roman"/>
          <w:sz w:val="24"/>
          <w:szCs w:val="24"/>
        </w:rPr>
        <w:t>early breast cancer</w:t>
      </w:r>
      <w:r>
        <w:rPr>
          <w:rFonts w:ascii="Times New Roman" w:eastAsia="宋体" w:hAnsi="Times New Roman" w:hint="eastAsia"/>
          <w:sz w:val="24"/>
          <w:szCs w:val="24"/>
        </w:rPr>
        <w:t>，</w:t>
      </w:r>
      <w:r>
        <w:rPr>
          <w:rFonts w:ascii="Times New Roman" w:eastAsia="宋体" w:hAnsi="Times New Roman"/>
          <w:sz w:val="24"/>
          <w:szCs w:val="24"/>
        </w:rPr>
        <w:t>EBC</w:t>
      </w:r>
      <w:r>
        <w:rPr>
          <w:rFonts w:ascii="Times New Roman" w:eastAsia="宋体" w:hAnsi="Times New Roman" w:hint="eastAsia"/>
          <w:sz w:val="24"/>
          <w:szCs w:val="24"/>
        </w:rPr>
        <w:t>）术前新辅助治疗</w:t>
      </w:r>
      <w:r>
        <w:rPr>
          <w:rFonts w:ascii="Times New Roman" w:eastAsia="宋体" w:hAnsi="Times New Roman"/>
          <w:sz w:val="24"/>
          <w:szCs w:val="24"/>
        </w:rPr>
        <w:t>”</w:t>
      </w:r>
      <w:r>
        <w:rPr>
          <w:rFonts w:ascii="Times New Roman" w:eastAsia="宋体" w:hAnsi="Times New Roman" w:hint="eastAsia"/>
          <w:sz w:val="24"/>
          <w:szCs w:val="24"/>
        </w:rPr>
        <w:t>，开展与赫赛汀</w:t>
      </w:r>
      <w:r>
        <w:rPr>
          <w:rFonts w:ascii="Times New Roman" w:eastAsia="宋体" w:hAnsi="Times New Roman"/>
          <w:sz w:val="24"/>
          <w:szCs w:val="24"/>
        </w:rPr>
        <w:t>“</w:t>
      </w:r>
      <w:r>
        <w:rPr>
          <w:rFonts w:ascii="Times New Roman" w:eastAsia="宋体" w:hAnsi="Times New Roman" w:hint="eastAsia"/>
          <w:sz w:val="24"/>
          <w:szCs w:val="24"/>
        </w:rPr>
        <w:t>头对头</w:t>
      </w:r>
      <w:r>
        <w:rPr>
          <w:rFonts w:ascii="Times New Roman" w:eastAsia="宋体" w:hAnsi="Times New Roman"/>
          <w:sz w:val="24"/>
          <w:szCs w:val="24"/>
        </w:rPr>
        <w:t>”</w:t>
      </w:r>
      <w:r>
        <w:rPr>
          <w:rFonts w:ascii="Times New Roman" w:eastAsia="宋体" w:hAnsi="Times New Roman" w:hint="eastAsia"/>
          <w:sz w:val="24"/>
          <w:szCs w:val="24"/>
        </w:rPr>
        <w:t>比较的等效性研究，主要终点选择敏感的疗效指标病理完全缓解率（</w:t>
      </w:r>
      <w:r>
        <w:rPr>
          <w:rFonts w:ascii="Times New Roman" w:eastAsia="宋体" w:hAnsi="Times New Roman"/>
          <w:sz w:val="24"/>
          <w:szCs w:val="24"/>
        </w:rPr>
        <w:t>complete remission of pathology</w:t>
      </w:r>
      <w:r>
        <w:rPr>
          <w:rFonts w:ascii="Times New Roman" w:eastAsia="宋体" w:hAnsi="Times New Roman" w:hint="eastAsia"/>
          <w:sz w:val="24"/>
          <w:szCs w:val="24"/>
        </w:rPr>
        <w:t>，</w:t>
      </w:r>
      <w:r>
        <w:rPr>
          <w:rFonts w:ascii="Times New Roman" w:eastAsia="宋体" w:hAnsi="Times New Roman"/>
          <w:sz w:val="24"/>
          <w:szCs w:val="24"/>
        </w:rPr>
        <w:t>pCR</w:t>
      </w:r>
      <w:r>
        <w:rPr>
          <w:rFonts w:ascii="Times New Roman" w:eastAsia="宋体" w:hAnsi="Times New Roman" w:hint="eastAsia"/>
          <w:sz w:val="24"/>
          <w:szCs w:val="24"/>
        </w:rPr>
        <w:t>）作为替代终点。</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 xml:space="preserve">c. </w:t>
      </w:r>
      <w:r>
        <w:rPr>
          <w:rFonts w:ascii="Times New Roman" w:eastAsia="宋体" w:hAnsi="Times New Roman" w:hint="eastAsia"/>
          <w:sz w:val="24"/>
          <w:szCs w:val="24"/>
        </w:rPr>
        <w:t>选择国内批准适应症：</w:t>
      </w:r>
      <w:r>
        <w:rPr>
          <w:rFonts w:ascii="Times New Roman" w:eastAsia="宋体" w:hAnsi="Times New Roman"/>
          <w:sz w:val="24"/>
          <w:szCs w:val="24"/>
        </w:rPr>
        <w:t>“</w:t>
      </w:r>
      <w:r>
        <w:rPr>
          <w:rFonts w:ascii="Times New Roman" w:eastAsia="宋体" w:hAnsi="Times New Roman" w:hint="eastAsia"/>
          <w:sz w:val="24"/>
          <w:szCs w:val="24"/>
        </w:rPr>
        <w:t>未接受过化疗的</w:t>
      </w:r>
      <w:r>
        <w:rPr>
          <w:rFonts w:ascii="Times New Roman" w:eastAsia="宋体" w:hAnsi="Times New Roman"/>
          <w:sz w:val="24"/>
          <w:szCs w:val="24"/>
        </w:rPr>
        <w:t>HER2</w:t>
      </w:r>
      <w:r>
        <w:rPr>
          <w:rFonts w:ascii="Times New Roman" w:eastAsia="宋体" w:hAnsi="Times New Roman" w:hint="eastAsia"/>
          <w:sz w:val="24"/>
          <w:szCs w:val="24"/>
        </w:rPr>
        <w:t>阳性转移性胃腺癌或胃食管交界腺癌（</w:t>
      </w:r>
      <w:r>
        <w:rPr>
          <w:rFonts w:ascii="Times New Roman" w:eastAsia="宋体" w:hAnsi="Times New Roman"/>
          <w:sz w:val="24"/>
          <w:szCs w:val="24"/>
        </w:rPr>
        <w:t>metastatic gastric or gastroesophageal junction adenocarcinoma</w:t>
      </w:r>
      <w:r>
        <w:rPr>
          <w:rFonts w:ascii="Times New Roman" w:eastAsia="宋体" w:hAnsi="Times New Roman" w:hint="eastAsia"/>
          <w:sz w:val="24"/>
          <w:szCs w:val="24"/>
        </w:rPr>
        <w:t>）</w:t>
      </w:r>
      <w:r>
        <w:rPr>
          <w:rFonts w:ascii="Times New Roman" w:eastAsia="宋体" w:hAnsi="Times New Roman"/>
          <w:sz w:val="24"/>
          <w:szCs w:val="24"/>
        </w:rPr>
        <w:t>”</w:t>
      </w:r>
      <w:r>
        <w:rPr>
          <w:rFonts w:ascii="Times New Roman" w:eastAsia="宋体" w:hAnsi="Times New Roman" w:hint="eastAsia"/>
          <w:sz w:val="24"/>
          <w:szCs w:val="24"/>
        </w:rPr>
        <w:t>为研究人群，开展与赫赛汀</w:t>
      </w:r>
      <w:r>
        <w:rPr>
          <w:rFonts w:ascii="Times New Roman" w:eastAsia="宋体" w:hAnsi="Times New Roman"/>
          <w:sz w:val="24"/>
          <w:szCs w:val="24"/>
        </w:rPr>
        <w:t>“</w:t>
      </w:r>
      <w:r>
        <w:rPr>
          <w:rFonts w:ascii="Times New Roman" w:eastAsia="宋体" w:hAnsi="Times New Roman" w:hint="eastAsia"/>
          <w:sz w:val="24"/>
          <w:szCs w:val="24"/>
        </w:rPr>
        <w:t>头对头</w:t>
      </w:r>
      <w:r>
        <w:rPr>
          <w:rFonts w:ascii="Times New Roman" w:eastAsia="宋体" w:hAnsi="Times New Roman"/>
          <w:sz w:val="24"/>
          <w:szCs w:val="24"/>
        </w:rPr>
        <w:t>”</w:t>
      </w:r>
      <w:r>
        <w:rPr>
          <w:rFonts w:ascii="Times New Roman" w:eastAsia="宋体" w:hAnsi="Times New Roman" w:hint="eastAsia"/>
          <w:sz w:val="24"/>
          <w:szCs w:val="24"/>
        </w:rPr>
        <w:t>比较的等效性研究，主要终点选择敏感的疗效指标</w:t>
      </w:r>
      <w:r>
        <w:rPr>
          <w:rFonts w:ascii="Times New Roman" w:eastAsia="宋体" w:hAnsi="Times New Roman"/>
          <w:sz w:val="24"/>
          <w:szCs w:val="24"/>
        </w:rPr>
        <w:t>ORR</w:t>
      </w:r>
      <w:r>
        <w:rPr>
          <w:rFonts w:ascii="Times New Roman" w:eastAsia="宋体" w:hAnsi="Times New Roman" w:hint="eastAsia"/>
          <w:sz w:val="24"/>
          <w:szCs w:val="24"/>
        </w:rPr>
        <w:t>作为替代终点。对该策略的可行性讨论见后述。</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按以上路径完成单个适应症的研究，技术审评通过后可获得外推其它适应症的批准。</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hint="eastAsia"/>
          <w:b/>
          <w:sz w:val="24"/>
          <w:szCs w:val="24"/>
        </w:rPr>
        <w:t>三、曲妥珠单抗生物类似药临床研究设计要点</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临床比对研究通常从药代动力学（</w:t>
      </w:r>
      <w:r>
        <w:rPr>
          <w:rFonts w:ascii="Times New Roman" w:eastAsia="宋体" w:hAnsi="Times New Roman"/>
          <w:sz w:val="24"/>
          <w:szCs w:val="24"/>
        </w:rPr>
        <w:t>pharmacokinetics</w:t>
      </w:r>
      <w:r>
        <w:rPr>
          <w:rFonts w:ascii="Times New Roman" w:eastAsia="宋体" w:hAnsi="Times New Roman" w:hint="eastAsia"/>
          <w:sz w:val="24"/>
          <w:szCs w:val="24"/>
        </w:rPr>
        <w:t>，</w:t>
      </w:r>
      <w:r>
        <w:rPr>
          <w:rFonts w:ascii="Times New Roman" w:eastAsia="宋体" w:hAnsi="Times New Roman"/>
          <w:sz w:val="24"/>
          <w:szCs w:val="24"/>
        </w:rPr>
        <w:t>PK</w:t>
      </w:r>
      <w:r>
        <w:rPr>
          <w:rFonts w:ascii="Times New Roman" w:eastAsia="宋体" w:hAnsi="Times New Roman" w:hint="eastAsia"/>
          <w:sz w:val="24"/>
          <w:szCs w:val="24"/>
        </w:rPr>
        <w:t>）和</w:t>
      </w:r>
      <w:r>
        <w:rPr>
          <w:rFonts w:ascii="Times New Roman" w:eastAsia="宋体" w:hAnsi="Times New Roman"/>
          <w:sz w:val="24"/>
          <w:szCs w:val="24"/>
        </w:rPr>
        <w:t>/</w:t>
      </w:r>
      <w:r>
        <w:rPr>
          <w:rFonts w:ascii="Times New Roman" w:eastAsia="宋体" w:hAnsi="Times New Roman" w:hint="eastAsia"/>
          <w:sz w:val="24"/>
          <w:szCs w:val="24"/>
        </w:rPr>
        <w:t>或药效学比对试验研究开始，根据其相似性评价结果再考虑后续开展临床有效性比对试验。研究设计应当以证明候选药与原研药的相似性为目的，进行科学合理的研究设计，在有合理科学依据的前提下，尽可能的简化研究，降低成本。当前国内外曲妥珠单抗生物类似药的临床研发多为一项药代动力学比对研究和一项临床安全有效性比对研究。</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b/>
          <w:sz w:val="24"/>
          <w:szCs w:val="24"/>
        </w:rPr>
        <w:t>1. PK</w:t>
      </w:r>
      <w:r>
        <w:rPr>
          <w:rFonts w:ascii="Times New Roman" w:eastAsia="宋体" w:hAnsi="Times New Roman" w:hint="eastAsia"/>
          <w:b/>
          <w:sz w:val="24"/>
          <w:szCs w:val="24"/>
        </w:rPr>
        <w:t>比对研究</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试验设计：</w:t>
      </w:r>
      <w:r>
        <w:rPr>
          <w:rFonts w:ascii="Times New Roman" w:eastAsia="宋体" w:hAnsi="Times New Roman" w:hint="eastAsia"/>
          <w:sz w:val="24"/>
          <w:szCs w:val="24"/>
        </w:rPr>
        <w:t>赫赛汀在每三周一次给药方案下，</w:t>
      </w:r>
      <w:r>
        <w:rPr>
          <w:rFonts w:ascii="Times New Roman" w:eastAsia="宋体" w:hAnsi="Times New Roman"/>
          <w:sz w:val="24"/>
          <w:szCs w:val="24"/>
        </w:rPr>
        <w:t>MBC</w:t>
      </w:r>
      <w:r>
        <w:rPr>
          <w:rFonts w:ascii="Times New Roman" w:eastAsia="宋体" w:hAnsi="Times New Roman" w:hint="eastAsia"/>
          <w:sz w:val="24"/>
          <w:szCs w:val="24"/>
        </w:rPr>
        <w:t>的半衰期为</w:t>
      </w:r>
      <w:r>
        <w:rPr>
          <w:rFonts w:ascii="Times New Roman" w:eastAsia="宋体" w:hAnsi="Times New Roman"/>
          <w:sz w:val="24"/>
          <w:szCs w:val="24"/>
        </w:rPr>
        <w:t>15.1-23.3</w:t>
      </w:r>
      <w:r>
        <w:rPr>
          <w:rFonts w:ascii="Times New Roman" w:eastAsia="宋体" w:hAnsi="Times New Roman" w:hint="eastAsia"/>
          <w:sz w:val="24"/>
          <w:szCs w:val="24"/>
        </w:rPr>
        <w:t>天，</w:t>
      </w:r>
      <w:r>
        <w:rPr>
          <w:rFonts w:ascii="Times New Roman" w:eastAsia="宋体" w:hAnsi="Times New Roman"/>
          <w:sz w:val="24"/>
          <w:szCs w:val="24"/>
        </w:rPr>
        <w:t xml:space="preserve"> EBC</w:t>
      </w:r>
      <w:r>
        <w:rPr>
          <w:rFonts w:ascii="Times New Roman" w:eastAsia="宋体" w:hAnsi="Times New Roman" w:hint="eastAsia"/>
          <w:sz w:val="24"/>
          <w:szCs w:val="24"/>
        </w:rPr>
        <w:t>的半衰期为</w:t>
      </w:r>
      <w:r>
        <w:rPr>
          <w:rFonts w:ascii="Times New Roman" w:eastAsia="宋体" w:hAnsi="Times New Roman"/>
          <w:sz w:val="24"/>
          <w:szCs w:val="24"/>
        </w:rPr>
        <w:t>17.5-26.6</w:t>
      </w:r>
      <w:r>
        <w:rPr>
          <w:rFonts w:ascii="Times New Roman" w:eastAsia="宋体" w:hAnsi="Times New Roman" w:hint="eastAsia"/>
          <w:sz w:val="24"/>
          <w:szCs w:val="24"/>
        </w:rPr>
        <w:t>天，</w:t>
      </w:r>
      <w:r>
        <w:rPr>
          <w:rFonts w:ascii="Times New Roman" w:eastAsia="宋体" w:hAnsi="Times New Roman"/>
          <w:sz w:val="24"/>
          <w:szCs w:val="24"/>
        </w:rPr>
        <w:t>AGC</w:t>
      </w:r>
      <w:r>
        <w:rPr>
          <w:rFonts w:ascii="Times New Roman" w:eastAsia="宋体" w:hAnsi="Times New Roman" w:hint="eastAsia"/>
          <w:sz w:val="24"/>
          <w:szCs w:val="24"/>
        </w:rPr>
        <w:t>的半衰期为</w:t>
      </w:r>
      <w:r>
        <w:rPr>
          <w:rFonts w:ascii="Times New Roman" w:eastAsia="宋体" w:hAnsi="Times New Roman"/>
          <w:sz w:val="24"/>
          <w:szCs w:val="24"/>
        </w:rPr>
        <w:t>12.6-20.6</w:t>
      </w:r>
      <w:r>
        <w:rPr>
          <w:rFonts w:ascii="Times New Roman" w:eastAsia="宋体" w:hAnsi="Times New Roman" w:hint="eastAsia"/>
          <w:sz w:val="24"/>
          <w:szCs w:val="24"/>
        </w:rPr>
        <w:t>天；在每周一次给药方案下，</w:t>
      </w:r>
      <w:r>
        <w:rPr>
          <w:rFonts w:ascii="Times New Roman" w:eastAsia="宋体" w:hAnsi="Times New Roman"/>
          <w:sz w:val="24"/>
          <w:szCs w:val="24"/>
        </w:rPr>
        <w:t>MBC</w:t>
      </w:r>
      <w:r>
        <w:rPr>
          <w:rFonts w:ascii="Times New Roman" w:eastAsia="宋体" w:hAnsi="Times New Roman" w:hint="eastAsia"/>
          <w:sz w:val="24"/>
          <w:szCs w:val="24"/>
        </w:rPr>
        <w:t>的半衰期为</w:t>
      </w:r>
      <w:r>
        <w:rPr>
          <w:rFonts w:ascii="Times New Roman" w:eastAsia="宋体" w:hAnsi="Times New Roman"/>
          <w:sz w:val="24"/>
          <w:szCs w:val="24"/>
        </w:rPr>
        <w:t>17.2-20.4</w:t>
      </w:r>
      <w:r>
        <w:rPr>
          <w:rFonts w:ascii="Times New Roman" w:eastAsia="宋体" w:hAnsi="Times New Roman" w:hint="eastAsia"/>
          <w:sz w:val="24"/>
          <w:szCs w:val="24"/>
        </w:rPr>
        <w:t>天，</w:t>
      </w:r>
      <w:r>
        <w:rPr>
          <w:rFonts w:ascii="Times New Roman" w:eastAsia="宋体" w:hAnsi="Times New Roman"/>
          <w:sz w:val="24"/>
          <w:szCs w:val="24"/>
        </w:rPr>
        <w:t>EBC</w:t>
      </w:r>
      <w:r>
        <w:rPr>
          <w:rFonts w:ascii="Times New Roman" w:eastAsia="宋体" w:hAnsi="Times New Roman" w:hint="eastAsia"/>
          <w:sz w:val="24"/>
          <w:szCs w:val="24"/>
        </w:rPr>
        <w:t>的半衰期为</w:t>
      </w:r>
      <w:r>
        <w:rPr>
          <w:rFonts w:ascii="Times New Roman" w:eastAsia="宋体" w:hAnsi="Times New Roman"/>
          <w:sz w:val="24"/>
          <w:szCs w:val="24"/>
        </w:rPr>
        <w:t>19.7-23.2</w:t>
      </w:r>
      <w:r>
        <w:rPr>
          <w:rFonts w:ascii="Times New Roman" w:eastAsia="宋体" w:hAnsi="Times New Roman" w:hint="eastAsia"/>
          <w:sz w:val="24"/>
          <w:szCs w:val="24"/>
        </w:rPr>
        <w:t>天</w:t>
      </w:r>
      <w:r>
        <w:rPr>
          <w:rFonts w:ascii="Times New Roman" w:eastAsia="宋体" w:hAnsi="Times New Roman"/>
          <w:color w:val="444444"/>
          <w:sz w:val="24"/>
          <w:szCs w:val="24"/>
          <w:vertAlign w:val="superscript"/>
        </w:rPr>
        <w:t>[1]</w:t>
      </w:r>
      <w:r>
        <w:rPr>
          <w:rFonts w:ascii="Times New Roman" w:eastAsia="宋体" w:hAnsi="Times New Roman" w:hint="eastAsia"/>
          <w:sz w:val="24"/>
          <w:szCs w:val="24"/>
        </w:rPr>
        <w:t>。参照一般生物等效性研究的设计，结合曲妥珠单抗半衰期较长，具有免疫原性等特点，本品不适用于交叉设计评价其生物等效性，建议采用随机、双盲、赫赛汀对照的试验设计。</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单次给药</w:t>
      </w:r>
      <w:r>
        <w:rPr>
          <w:rFonts w:ascii="Times New Roman" w:eastAsia="宋体" w:hAnsi="Times New Roman"/>
          <w:sz w:val="24"/>
          <w:szCs w:val="24"/>
        </w:rPr>
        <w:t>PK</w:t>
      </w:r>
      <w:r>
        <w:rPr>
          <w:rFonts w:ascii="Times New Roman" w:eastAsia="宋体" w:hAnsi="Times New Roman" w:hint="eastAsia"/>
          <w:sz w:val="24"/>
          <w:szCs w:val="24"/>
        </w:rPr>
        <w:t>比对研究易于比较出组间差异，因而推荐进行单次给药的</w:t>
      </w:r>
      <w:r>
        <w:rPr>
          <w:rFonts w:ascii="Times New Roman" w:eastAsia="宋体" w:hAnsi="Times New Roman"/>
          <w:sz w:val="24"/>
          <w:szCs w:val="24"/>
        </w:rPr>
        <w:t>PK</w:t>
      </w:r>
      <w:r>
        <w:rPr>
          <w:rFonts w:ascii="Times New Roman" w:eastAsia="宋体" w:hAnsi="Times New Roman" w:hint="eastAsia"/>
          <w:sz w:val="24"/>
          <w:szCs w:val="24"/>
        </w:rPr>
        <w:t>比对研究。多次给药</w:t>
      </w:r>
      <w:r>
        <w:rPr>
          <w:rFonts w:ascii="Times New Roman" w:eastAsia="宋体" w:hAnsi="Times New Roman"/>
          <w:sz w:val="24"/>
          <w:szCs w:val="24"/>
        </w:rPr>
        <w:t>PK</w:t>
      </w:r>
      <w:r>
        <w:rPr>
          <w:rFonts w:ascii="Times New Roman" w:eastAsia="宋体" w:hAnsi="Times New Roman" w:hint="eastAsia"/>
          <w:sz w:val="24"/>
          <w:szCs w:val="24"/>
        </w:rPr>
        <w:t>比对研究不如单次给药</w:t>
      </w:r>
      <w:r>
        <w:rPr>
          <w:rFonts w:ascii="Times New Roman" w:eastAsia="宋体" w:hAnsi="Times New Roman"/>
          <w:sz w:val="24"/>
          <w:szCs w:val="24"/>
        </w:rPr>
        <w:t>PK</w:t>
      </w:r>
      <w:r>
        <w:rPr>
          <w:rFonts w:ascii="Times New Roman" w:eastAsia="宋体" w:hAnsi="Times New Roman" w:hint="eastAsia"/>
          <w:sz w:val="24"/>
          <w:szCs w:val="24"/>
        </w:rPr>
        <w:t>比对研究敏感，但可以间接反映曲妥珠单抗药物剂量依赖和时间依赖性相关的免疫原性，以及靶介导、</w:t>
      </w:r>
      <w:r>
        <w:rPr>
          <w:rFonts w:ascii="Times New Roman" w:eastAsia="宋体" w:hAnsi="Times New Roman"/>
          <w:sz w:val="24"/>
          <w:szCs w:val="24"/>
        </w:rPr>
        <w:t>FcRn</w:t>
      </w:r>
      <w:r>
        <w:rPr>
          <w:rFonts w:ascii="Times New Roman" w:eastAsia="宋体" w:hAnsi="Times New Roman" w:hint="eastAsia"/>
          <w:sz w:val="24"/>
          <w:szCs w:val="24"/>
        </w:rPr>
        <w:t>介导、酶介导等相关的药物清除。建议在完成单次给药</w:t>
      </w:r>
      <w:r>
        <w:rPr>
          <w:rFonts w:ascii="Times New Roman" w:eastAsia="宋体" w:hAnsi="Times New Roman"/>
          <w:sz w:val="24"/>
          <w:szCs w:val="24"/>
        </w:rPr>
        <w:t>PK</w:t>
      </w:r>
      <w:r>
        <w:rPr>
          <w:rFonts w:ascii="Times New Roman" w:eastAsia="宋体" w:hAnsi="Times New Roman" w:hint="eastAsia"/>
          <w:sz w:val="24"/>
          <w:szCs w:val="24"/>
        </w:rPr>
        <w:t>比对研究判定相似性后，在开展临床有效性比对研究期间，同时考察多次给药的</w:t>
      </w:r>
      <w:r>
        <w:rPr>
          <w:rFonts w:ascii="Times New Roman" w:eastAsia="宋体" w:hAnsi="Times New Roman"/>
          <w:sz w:val="24"/>
          <w:szCs w:val="24"/>
        </w:rPr>
        <w:t>PK</w:t>
      </w:r>
      <w:r>
        <w:rPr>
          <w:rFonts w:ascii="Times New Roman" w:eastAsia="宋体" w:hAnsi="Times New Roman" w:hint="eastAsia"/>
          <w:sz w:val="24"/>
          <w:szCs w:val="24"/>
        </w:rPr>
        <w:t>特征。免疫原性的评价应当贯穿在整个临床比对研究中。</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研究人群：</w:t>
      </w:r>
      <w:r>
        <w:rPr>
          <w:rFonts w:ascii="Times New Roman" w:eastAsia="宋体" w:hAnsi="Times New Roman" w:hint="eastAsia"/>
          <w:sz w:val="24"/>
          <w:szCs w:val="24"/>
        </w:rPr>
        <w:t>健康志愿者是较为理想的均质性受试人群，能更好的反映出候选药与原研药之间的</w:t>
      </w:r>
      <w:r>
        <w:rPr>
          <w:rFonts w:ascii="Times New Roman" w:eastAsia="宋体" w:hAnsi="Times New Roman"/>
          <w:sz w:val="24"/>
          <w:szCs w:val="24"/>
        </w:rPr>
        <w:t>PK</w:t>
      </w:r>
      <w:r>
        <w:rPr>
          <w:rFonts w:ascii="Times New Roman" w:eastAsia="宋体" w:hAnsi="Times New Roman" w:hint="eastAsia"/>
          <w:sz w:val="24"/>
          <w:szCs w:val="24"/>
        </w:rPr>
        <w:t>差异。曲妥珠单抗为非细胞毒性药物，单次给药</w:t>
      </w:r>
      <w:r>
        <w:rPr>
          <w:rFonts w:ascii="Times New Roman" w:eastAsia="宋体" w:hAnsi="Times New Roman"/>
          <w:sz w:val="24"/>
          <w:szCs w:val="24"/>
        </w:rPr>
        <w:t>PK</w:t>
      </w:r>
      <w:r>
        <w:rPr>
          <w:rFonts w:ascii="Times New Roman" w:eastAsia="宋体" w:hAnsi="Times New Roman" w:hint="eastAsia"/>
          <w:sz w:val="24"/>
          <w:szCs w:val="24"/>
        </w:rPr>
        <w:t>比对研究入选健康志愿者是可以接受的，但仍必须充分考虑给药剂量，尽量保护健康受试者。由于研究主要目的是考察</w:t>
      </w:r>
      <w:r>
        <w:rPr>
          <w:rFonts w:ascii="Times New Roman" w:eastAsia="宋体" w:hAnsi="Times New Roman"/>
          <w:sz w:val="24"/>
          <w:szCs w:val="24"/>
        </w:rPr>
        <w:t>PK</w:t>
      </w:r>
      <w:r>
        <w:rPr>
          <w:rFonts w:ascii="Times New Roman" w:eastAsia="宋体" w:hAnsi="Times New Roman" w:hint="eastAsia"/>
          <w:sz w:val="24"/>
          <w:szCs w:val="24"/>
        </w:rPr>
        <w:t>相似性，无需考虑性别差异，因此</w:t>
      </w:r>
      <w:r w:rsidR="009271EE">
        <w:rPr>
          <w:rFonts w:ascii="Times New Roman" w:eastAsia="宋体" w:hAnsi="Times New Roman" w:hint="eastAsia"/>
          <w:sz w:val="24"/>
          <w:szCs w:val="24"/>
        </w:rPr>
        <w:t>可</w:t>
      </w:r>
      <w:r w:rsidR="009271EE">
        <w:rPr>
          <w:rFonts w:ascii="Times New Roman" w:eastAsia="宋体" w:hAnsi="Times New Roman"/>
          <w:sz w:val="24"/>
          <w:szCs w:val="24"/>
        </w:rPr>
        <w:t>只</w:t>
      </w:r>
      <w:r>
        <w:rPr>
          <w:rFonts w:ascii="Times New Roman" w:eastAsia="宋体" w:hAnsi="Times New Roman" w:hint="eastAsia"/>
          <w:sz w:val="24"/>
          <w:szCs w:val="24"/>
        </w:rPr>
        <w:t>选择健康男性志愿者。</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参照药来源：</w:t>
      </w:r>
      <w:r w:rsidR="0010681A" w:rsidRPr="0010681A">
        <w:rPr>
          <w:rFonts w:ascii="Times New Roman" w:eastAsia="宋体" w:hAnsi="Times New Roman" w:hint="eastAsia"/>
          <w:sz w:val="24"/>
          <w:szCs w:val="24"/>
        </w:rPr>
        <w:t>临床研究中应尽可能选择中国市售产品作为参照药，如果选择非我国获批进口注册来源的参照药，在临床试验开始前应提供不同来源原研药之间可比的证据或开展不同来源原研药品的比对研究。</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剂量及给药途径：</w:t>
      </w:r>
      <w:r>
        <w:rPr>
          <w:rFonts w:ascii="Times New Roman" w:eastAsia="宋体" w:hAnsi="Times New Roman" w:hint="eastAsia"/>
          <w:sz w:val="24"/>
          <w:szCs w:val="24"/>
        </w:rPr>
        <w:t>原则上，不要求对每种治疗剂量均进行</w:t>
      </w:r>
      <w:r>
        <w:rPr>
          <w:rFonts w:ascii="Times New Roman" w:eastAsia="宋体" w:hAnsi="Times New Roman"/>
          <w:sz w:val="24"/>
          <w:szCs w:val="24"/>
        </w:rPr>
        <w:t>PK</w:t>
      </w:r>
      <w:r>
        <w:rPr>
          <w:rFonts w:ascii="Times New Roman" w:eastAsia="宋体" w:hAnsi="Times New Roman" w:hint="eastAsia"/>
          <w:sz w:val="24"/>
          <w:szCs w:val="24"/>
        </w:rPr>
        <w:t>比对研究，应选择能检测出生物类似药与参照药的</w:t>
      </w:r>
      <w:r>
        <w:rPr>
          <w:rFonts w:ascii="Times New Roman" w:eastAsia="宋体" w:hAnsi="Times New Roman"/>
          <w:sz w:val="24"/>
          <w:szCs w:val="24"/>
        </w:rPr>
        <w:t>PK</w:t>
      </w:r>
      <w:r>
        <w:rPr>
          <w:rFonts w:ascii="Times New Roman" w:eastAsia="宋体" w:hAnsi="Times New Roman" w:hint="eastAsia"/>
          <w:sz w:val="24"/>
          <w:szCs w:val="24"/>
        </w:rPr>
        <w:t>潜在差异的最敏感的剂量。如难以确定最敏感的剂量，则推荐选取最低（靶介导的清除还未饱和）和最高（非特异性清除占主导）治疗剂量。如比较靶介导的清除之间的差异，选择最低治疗剂量进行单次给药</w:t>
      </w:r>
      <w:r>
        <w:rPr>
          <w:rFonts w:ascii="Times New Roman" w:eastAsia="宋体" w:hAnsi="Times New Roman"/>
          <w:sz w:val="24"/>
          <w:szCs w:val="24"/>
        </w:rPr>
        <w:t>PK</w:t>
      </w:r>
      <w:r>
        <w:rPr>
          <w:rFonts w:ascii="Times New Roman" w:eastAsia="宋体" w:hAnsi="Times New Roman" w:hint="eastAsia"/>
          <w:sz w:val="24"/>
          <w:szCs w:val="24"/>
        </w:rPr>
        <w:t>比对研究是最合理的试验设计</w:t>
      </w:r>
      <w:r>
        <w:rPr>
          <w:rFonts w:ascii="Times New Roman" w:eastAsia="宋体" w:hAnsi="Times New Roman"/>
          <w:color w:val="444444"/>
          <w:sz w:val="24"/>
          <w:szCs w:val="24"/>
          <w:vertAlign w:val="superscript"/>
        </w:rPr>
        <w:t>[3]</w:t>
      </w:r>
      <w:r>
        <w:rPr>
          <w:rFonts w:ascii="Times New Roman" w:eastAsia="宋体" w:hAnsi="Times New Roman" w:hint="eastAsia"/>
          <w:sz w:val="24"/>
          <w:szCs w:val="24"/>
        </w:rPr>
        <w:t>。当前已批准上市和在研的产品中，单次给药</w:t>
      </w:r>
      <w:r>
        <w:rPr>
          <w:rFonts w:ascii="Times New Roman" w:eastAsia="宋体" w:hAnsi="Times New Roman"/>
          <w:sz w:val="24"/>
          <w:szCs w:val="24"/>
        </w:rPr>
        <w:t>PK</w:t>
      </w:r>
      <w:r>
        <w:rPr>
          <w:rFonts w:ascii="Times New Roman" w:eastAsia="宋体" w:hAnsi="Times New Roman" w:hint="eastAsia"/>
          <w:sz w:val="24"/>
          <w:szCs w:val="24"/>
        </w:rPr>
        <w:t>比对研究最常选取的给药剂量为</w:t>
      </w:r>
      <w:r>
        <w:rPr>
          <w:rFonts w:ascii="Times New Roman" w:eastAsia="宋体" w:hAnsi="Times New Roman"/>
          <w:sz w:val="24"/>
          <w:szCs w:val="24"/>
        </w:rPr>
        <w:t>6mg/kg</w:t>
      </w:r>
      <w:r>
        <w:rPr>
          <w:rFonts w:ascii="Times New Roman" w:eastAsia="宋体" w:hAnsi="Times New Roman" w:hint="eastAsia"/>
          <w:sz w:val="24"/>
          <w:szCs w:val="24"/>
        </w:rPr>
        <w:t>，是多个适应症推荐的曲妥珠单抗</w:t>
      </w:r>
      <w:r>
        <w:rPr>
          <w:rFonts w:ascii="Times New Roman" w:eastAsia="宋体" w:hAnsi="Times New Roman"/>
          <w:sz w:val="24"/>
          <w:szCs w:val="24"/>
        </w:rPr>
        <w:t>q3w</w:t>
      </w:r>
      <w:r>
        <w:rPr>
          <w:rFonts w:ascii="Times New Roman" w:eastAsia="宋体" w:hAnsi="Times New Roman" w:hint="eastAsia"/>
          <w:sz w:val="24"/>
          <w:szCs w:val="24"/>
        </w:rPr>
        <w:t>给药方案的维持剂量。给药途径选择静脉给药，输注时间维持至少</w:t>
      </w:r>
      <w:r>
        <w:rPr>
          <w:rFonts w:ascii="Times New Roman" w:eastAsia="宋体" w:hAnsi="Times New Roman"/>
          <w:sz w:val="24"/>
          <w:szCs w:val="24"/>
        </w:rPr>
        <w:t>90min</w:t>
      </w:r>
      <w:r>
        <w:rPr>
          <w:rFonts w:ascii="Times New Roman" w:eastAsia="宋体" w:hAnsi="Times New Roman" w:hint="eastAsia"/>
          <w:sz w:val="24"/>
          <w:szCs w:val="24"/>
        </w:rPr>
        <w:t>。静脉给药时应注意控制输注速度，尽量使给药结束的时间一致，以避免对相似性评估造成非预期影响。</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终点指标与界值：</w:t>
      </w:r>
      <w:r>
        <w:rPr>
          <w:rFonts w:ascii="Times New Roman" w:eastAsia="宋体" w:hAnsi="Times New Roman"/>
          <w:sz w:val="24"/>
          <w:szCs w:val="24"/>
        </w:rPr>
        <w:t>PK</w:t>
      </w:r>
      <w:r>
        <w:rPr>
          <w:rFonts w:ascii="Times New Roman" w:eastAsia="宋体" w:hAnsi="Times New Roman" w:hint="eastAsia"/>
          <w:sz w:val="24"/>
          <w:szCs w:val="24"/>
        </w:rPr>
        <w:t>比对研究主要终点指标的选择是等效性评价的关键。根据口服固体制剂的相关指导原则</w:t>
      </w:r>
      <w:r>
        <w:rPr>
          <w:rFonts w:ascii="Times New Roman" w:eastAsia="宋体" w:hAnsi="Times New Roman"/>
          <w:sz w:val="24"/>
          <w:szCs w:val="24"/>
          <w:vertAlign w:val="superscript"/>
        </w:rPr>
        <w:t>[4]</w:t>
      </w:r>
      <w:r>
        <w:rPr>
          <w:rFonts w:ascii="Times New Roman" w:eastAsia="宋体" w:hAnsi="Times New Roman" w:hint="eastAsia"/>
          <w:sz w:val="24"/>
          <w:szCs w:val="24"/>
        </w:rPr>
        <w:t>，曲线下面积（</w:t>
      </w:r>
      <w:r>
        <w:rPr>
          <w:rFonts w:ascii="Times New Roman" w:eastAsia="宋体" w:hAnsi="Times New Roman"/>
          <w:sz w:val="24"/>
          <w:szCs w:val="24"/>
        </w:rPr>
        <w:t>AUC</w:t>
      </w:r>
      <w:r>
        <w:rPr>
          <w:rFonts w:ascii="Times New Roman" w:eastAsia="宋体" w:hAnsi="Times New Roman"/>
          <w:sz w:val="24"/>
          <w:szCs w:val="24"/>
          <w:vertAlign w:val="subscript"/>
        </w:rPr>
        <w:t>0-∞</w:t>
      </w:r>
      <w:r>
        <w:rPr>
          <w:rFonts w:ascii="Times New Roman" w:eastAsia="宋体" w:hAnsi="Times New Roman" w:hint="eastAsia"/>
          <w:sz w:val="24"/>
          <w:szCs w:val="24"/>
        </w:rPr>
        <w:t>）和达峰浓度（</w:t>
      </w:r>
      <w:r>
        <w:rPr>
          <w:rFonts w:ascii="Times New Roman" w:eastAsia="宋体" w:hAnsi="Times New Roman"/>
          <w:sz w:val="24"/>
          <w:szCs w:val="24"/>
        </w:rPr>
        <w:t>Cmax</w:t>
      </w:r>
      <w:r>
        <w:rPr>
          <w:rFonts w:ascii="Times New Roman" w:eastAsia="宋体" w:hAnsi="Times New Roman" w:hint="eastAsia"/>
          <w:sz w:val="24"/>
          <w:szCs w:val="24"/>
        </w:rPr>
        <w:t>）是判断生物等效性的主要参数。但是在生物类似药的生物等效性评价中，选择</w:t>
      </w:r>
      <w:r>
        <w:rPr>
          <w:rFonts w:ascii="Times New Roman" w:eastAsia="宋体" w:hAnsi="Times New Roman"/>
          <w:sz w:val="24"/>
          <w:szCs w:val="24"/>
        </w:rPr>
        <w:t>AUC</w:t>
      </w:r>
      <w:r>
        <w:rPr>
          <w:rFonts w:ascii="Times New Roman" w:eastAsia="宋体" w:hAnsi="Times New Roman"/>
          <w:sz w:val="24"/>
          <w:szCs w:val="24"/>
          <w:vertAlign w:val="subscript"/>
        </w:rPr>
        <w:t>0-t</w:t>
      </w:r>
      <w:r>
        <w:rPr>
          <w:rFonts w:ascii="Times New Roman" w:eastAsia="宋体" w:hAnsi="Times New Roman" w:hint="eastAsia"/>
          <w:sz w:val="24"/>
          <w:szCs w:val="24"/>
        </w:rPr>
        <w:t>还是</w:t>
      </w:r>
      <w:r>
        <w:rPr>
          <w:rFonts w:ascii="Times New Roman" w:eastAsia="宋体" w:hAnsi="Times New Roman"/>
          <w:sz w:val="24"/>
          <w:szCs w:val="24"/>
        </w:rPr>
        <w:t>AUC</w:t>
      </w:r>
      <w:r>
        <w:rPr>
          <w:rFonts w:ascii="Times New Roman" w:eastAsia="宋体" w:hAnsi="Times New Roman"/>
          <w:sz w:val="24"/>
          <w:szCs w:val="24"/>
          <w:vertAlign w:val="subscript"/>
        </w:rPr>
        <w:t>0-∞</w:t>
      </w:r>
      <w:r>
        <w:rPr>
          <w:rFonts w:ascii="Times New Roman" w:eastAsia="宋体" w:hAnsi="Times New Roman" w:hint="eastAsia"/>
          <w:sz w:val="24"/>
          <w:szCs w:val="24"/>
        </w:rPr>
        <w:t>作为终点，尚存在一定争议。</w:t>
      </w:r>
      <w:r>
        <w:rPr>
          <w:rFonts w:ascii="Times New Roman" w:eastAsia="宋体" w:hAnsi="Times New Roman"/>
          <w:sz w:val="24"/>
          <w:szCs w:val="24"/>
        </w:rPr>
        <w:t>FDA</w:t>
      </w:r>
      <w:r>
        <w:rPr>
          <w:rFonts w:ascii="Times New Roman" w:eastAsia="宋体" w:hAnsi="Times New Roman" w:hint="eastAsia"/>
          <w:sz w:val="24"/>
          <w:szCs w:val="24"/>
        </w:rPr>
        <w:t>在其生物类似药指导原则中静脉给药倾向于选择</w:t>
      </w:r>
      <w:r>
        <w:rPr>
          <w:rFonts w:ascii="Times New Roman" w:eastAsia="宋体" w:hAnsi="Times New Roman"/>
          <w:sz w:val="24"/>
          <w:szCs w:val="24"/>
        </w:rPr>
        <w:t>AUC</w:t>
      </w:r>
      <w:r>
        <w:rPr>
          <w:rFonts w:ascii="Times New Roman" w:eastAsia="宋体" w:hAnsi="Times New Roman"/>
          <w:sz w:val="24"/>
          <w:szCs w:val="24"/>
          <w:vertAlign w:val="subscript"/>
        </w:rPr>
        <w:t>0-∞</w:t>
      </w:r>
      <w:r>
        <w:rPr>
          <w:rFonts w:ascii="Times New Roman" w:eastAsia="宋体" w:hAnsi="Times New Roman" w:hint="eastAsia"/>
          <w:sz w:val="24"/>
          <w:szCs w:val="24"/>
        </w:rPr>
        <w:t>作为主要研究终点</w:t>
      </w:r>
      <w:r>
        <w:rPr>
          <w:rFonts w:ascii="Times New Roman" w:eastAsia="宋体" w:hAnsi="Times New Roman"/>
          <w:sz w:val="24"/>
          <w:szCs w:val="24"/>
          <w:vertAlign w:val="superscript"/>
        </w:rPr>
        <w:t>[5]</w:t>
      </w:r>
      <w:r>
        <w:rPr>
          <w:rFonts w:ascii="Times New Roman" w:eastAsia="宋体" w:hAnsi="Times New Roman" w:hint="eastAsia"/>
          <w:sz w:val="24"/>
          <w:szCs w:val="24"/>
        </w:rPr>
        <w:t>。目前认为</w:t>
      </w:r>
      <w:r>
        <w:rPr>
          <w:rFonts w:ascii="Times New Roman" w:eastAsia="宋体" w:hAnsi="Times New Roman"/>
          <w:sz w:val="24"/>
          <w:szCs w:val="24"/>
        </w:rPr>
        <w:t>AUC0-t</w:t>
      </w:r>
      <w:r>
        <w:rPr>
          <w:rFonts w:ascii="Times New Roman" w:eastAsia="宋体" w:hAnsi="Times New Roman" w:hint="eastAsia"/>
          <w:sz w:val="24"/>
          <w:szCs w:val="24"/>
        </w:rPr>
        <w:t>是通过实际测量值计算获得的，考虑到生物类似药的药代动力学特性和实际研究过程中取血点设计的相关性，推荐</w:t>
      </w:r>
      <w:r>
        <w:rPr>
          <w:rFonts w:ascii="Times New Roman" w:eastAsia="宋体" w:hAnsi="Times New Roman"/>
          <w:sz w:val="24"/>
          <w:szCs w:val="24"/>
        </w:rPr>
        <w:t>AUC</w:t>
      </w:r>
      <w:r>
        <w:rPr>
          <w:rFonts w:ascii="Times New Roman" w:eastAsia="宋体" w:hAnsi="Times New Roman"/>
          <w:sz w:val="24"/>
          <w:szCs w:val="24"/>
          <w:vertAlign w:val="subscript"/>
        </w:rPr>
        <w:t>0-t</w:t>
      </w:r>
      <w:r>
        <w:rPr>
          <w:rFonts w:ascii="Times New Roman" w:eastAsia="宋体" w:hAnsi="Times New Roman" w:hint="eastAsia"/>
          <w:sz w:val="24"/>
          <w:szCs w:val="24"/>
        </w:rPr>
        <w:t>作为主要研究终点指标。</w:t>
      </w:r>
      <w:r>
        <w:rPr>
          <w:rFonts w:ascii="Times New Roman" w:eastAsia="宋体" w:hAnsi="Times New Roman"/>
          <w:sz w:val="24"/>
          <w:szCs w:val="24"/>
        </w:rPr>
        <w:t>AUC</w:t>
      </w:r>
      <w:r>
        <w:rPr>
          <w:rFonts w:ascii="Times New Roman" w:eastAsia="宋体" w:hAnsi="Times New Roman"/>
          <w:sz w:val="24"/>
          <w:szCs w:val="24"/>
          <w:vertAlign w:val="subscript"/>
        </w:rPr>
        <w:t>0-∞</w:t>
      </w:r>
      <w:r>
        <w:rPr>
          <w:rFonts w:ascii="Times New Roman" w:eastAsia="宋体" w:hAnsi="Times New Roman" w:hint="eastAsia"/>
          <w:sz w:val="24"/>
          <w:szCs w:val="24"/>
        </w:rPr>
        <w:t>和</w:t>
      </w:r>
      <w:r>
        <w:rPr>
          <w:rFonts w:ascii="Times New Roman" w:eastAsia="宋体" w:hAnsi="Times New Roman"/>
          <w:sz w:val="24"/>
          <w:szCs w:val="24"/>
        </w:rPr>
        <w:t>Cmax</w:t>
      </w:r>
      <w:r>
        <w:rPr>
          <w:rFonts w:ascii="Times New Roman" w:eastAsia="宋体" w:hAnsi="Times New Roman" w:hint="eastAsia"/>
          <w:sz w:val="24"/>
          <w:szCs w:val="24"/>
        </w:rPr>
        <w:t>作为次要研究终点重点进行比较分析。等效性界值根据常规建议设定为</w:t>
      </w:r>
      <w:r>
        <w:rPr>
          <w:rFonts w:ascii="Times New Roman" w:eastAsia="宋体" w:hAnsi="Times New Roman"/>
          <w:sz w:val="24"/>
          <w:szCs w:val="24"/>
        </w:rPr>
        <w:t>80%-125%</w:t>
      </w:r>
      <w:r>
        <w:rPr>
          <w:rFonts w:ascii="Times New Roman" w:eastAsia="宋体" w:hAnsi="Times New Roman" w:hint="eastAsia"/>
          <w:sz w:val="24"/>
          <w:szCs w:val="24"/>
        </w:rPr>
        <w:t>。</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样本量：</w:t>
      </w:r>
      <w:r>
        <w:rPr>
          <w:rFonts w:ascii="Times New Roman" w:eastAsia="宋体" w:hAnsi="Times New Roman" w:hint="eastAsia"/>
          <w:sz w:val="24"/>
          <w:szCs w:val="24"/>
        </w:rPr>
        <w:t>样本量根据设定的等效性界值（</w:t>
      </w:r>
      <w:r>
        <w:rPr>
          <w:rFonts w:ascii="Times New Roman" w:eastAsia="宋体" w:hAnsi="Times New Roman"/>
          <w:sz w:val="24"/>
          <w:szCs w:val="24"/>
        </w:rPr>
        <w:t>80%-125%</w:t>
      </w:r>
      <w:r>
        <w:rPr>
          <w:rFonts w:ascii="Times New Roman" w:eastAsia="宋体" w:hAnsi="Times New Roman" w:hint="eastAsia"/>
          <w:sz w:val="24"/>
          <w:szCs w:val="24"/>
        </w:rPr>
        <w:t>）、置信区间（</w:t>
      </w:r>
      <w:r>
        <w:rPr>
          <w:rFonts w:ascii="Times New Roman" w:eastAsia="宋体" w:hAnsi="Times New Roman"/>
          <w:sz w:val="24"/>
          <w:szCs w:val="24"/>
        </w:rPr>
        <w:t>90%</w:t>
      </w:r>
      <w:r>
        <w:rPr>
          <w:rFonts w:ascii="Times New Roman" w:eastAsia="宋体" w:hAnsi="Times New Roman" w:hint="eastAsia"/>
          <w:sz w:val="24"/>
          <w:szCs w:val="24"/>
        </w:rPr>
        <w:t>）和把握度（通常</w:t>
      </w:r>
      <w:r>
        <w:rPr>
          <w:rFonts w:ascii="Times New Roman" w:eastAsia="宋体" w:hAnsi="Times New Roman"/>
          <w:sz w:val="24"/>
          <w:szCs w:val="24"/>
        </w:rPr>
        <w:t>80%</w:t>
      </w:r>
      <w:r>
        <w:rPr>
          <w:rFonts w:ascii="Times New Roman" w:eastAsia="宋体" w:hAnsi="Times New Roman" w:hint="eastAsia"/>
          <w:sz w:val="24"/>
          <w:szCs w:val="24"/>
        </w:rPr>
        <w:t>以上）等参数计算，同时应结合赫赛汀既往信息考虑药代参数变异情况综合考虑。</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b/>
          <w:sz w:val="24"/>
          <w:szCs w:val="24"/>
        </w:rPr>
        <w:t xml:space="preserve">2. </w:t>
      </w:r>
      <w:r>
        <w:rPr>
          <w:rFonts w:ascii="Times New Roman" w:eastAsia="宋体" w:hAnsi="Times New Roman" w:hint="eastAsia"/>
          <w:b/>
          <w:sz w:val="24"/>
          <w:szCs w:val="24"/>
        </w:rPr>
        <w:t>有效性比对研究</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试验设计：</w:t>
      </w:r>
      <w:r>
        <w:rPr>
          <w:rFonts w:ascii="Times New Roman" w:eastAsia="宋体" w:hAnsi="Times New Roman" w:hint="eastAsia"/>
          <w:sz w:val="24"/>
          <w:szCs w:val="24"/>
        </w:rPr>
        <w:t>临床有效性比对研究的目的是证明与赫赛汀临床疗效的相似，因此，应选择最易检测出药物相关差异的最敏感患者人群和临床终点，同时控制与患者和疾病相关的因素至最小化。研究应遵循以原研药为对照，进行随机、双盲、平行对照等效性设计。</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研究人群：</w:t>
      </w:r>
      <w:r>
        <w:rPr>
          <w:rFonts w:ascii="Times New Roman" w:eastAsia="宋体" w:hAnsi="Times New Roman" w:hint="eastAsia"/>
          <w:sz w:val="24"/>
          <w:szCs w:val="24"/>
        </w:rPr>
        <w:t>应基于赫赛汀已获得临床试验数据和获批适应症选择最敏感的均质患者人群（疾病严重程度和既往治疗线数不同的患者，预期对研究药物产生的应答也不同，增加研究的变异度）。</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赫赛汀用于</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EBC</w:t>
      </w:r>
      <w:r>
        <w:rPr>
          <w:rFonts w:ascii="Times New Roman" w:eastAsia="宋体" w:hAnsi="Times New Roman" w:hint="eastAsia"/>
          <w:sz w:val="24"/>
          <w:szCs w:val="24"/>
        </w:rPr>
        <w:t>新辅助治疗的适应症于</w:t>
      </w:r>
      <w:r>
        <w:rPr>
          <w:rFonts w:ascii="Times New Roman" w:eastAsia="宋体" w:hAnsi="Times New Roman"/>
          <w:sz w:val="24"/>
          <w:szCs w:val="24"/>
        </w:rPr>
        <w:t>2019</w:t>
      </w:r>
      <w:r>
        <w:rPr>
          <w:rFonts w:ascii="Times New Roman" w:eastAsia="宋体" w:hAnsi="Times New Roman" w:hint="eastAsia"/>
          <w:sz w:val="24"/>
          <w:szCs w:val="24"/>
        </w:rPr>
        <w:t>年</w:t>
      </w:r>
      <w:r>
        <w:rPr>
          <w:rFonts w:ascii="Times New Roman" w:eastAsia="宋体" w:hAnsi="Times New Roman"/>
          <w:sz w:val="24"/>
          <w:szCs w:val="24"/>
        </w:rPr>
        <w:t>1</w:t>
      </w:r>
      <w:r>
        <w:rPr>
          <w:rFonts w:ascii="Times New Roman" w:eastAsia="宋体" w:hAnsi="Times New Roman" w:hint="eastAsia"/>
          <w:sz w:val="24"/>
          <w:szCs w:val="24"/>
        </w:rPr>
        <w:t>月获批，该患者人群疾病背景较单纯，既往未接受过治疗，均质性更高，是开展临床有效性比对研究的敏感人群</w:t>
      </w:r>
      <w:r>
        <w:rPr>
          <w:rFonts w:ascii="Times New Roman" w:eastAsia="宋体" w:hAnsi="Times New Roman"/>
          <w:sz w:val="24"/>
          <w:szCs w:val="24"/>
          <w:vertAlign w:val="superscript"/>
        </w:rPr>
        <w:t>[6]</w:t>
      </w:r>
      <w:r>
        <w:rPr>
          <w:rFonts w:ascii="Times New Roman" w:eastAsia="宋体" w:hAnsi="Times New Roman" w:hint="eastAsia"/>
          <w:sz w:val="24"/>
          <w:szCs w:val="24"/>
        </w:rPr>
        <w:t>，目前获批上市和在研的生物类似药最常选择该适应症开展临床有效性比对研究。可选择序贯或联合方案。</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赫赛汀在转移性乳腺癌一线治疗中开展了多项大型的与紫杉类化疗联合的随机对照研究</w:t>
      </w:r>
      <w:r>
        <w:rPr>
          <w:rFonts w:ascii="Times New Roman" w:eastAsia="宋体" w:hAnsi="Times New Roman"/>
          <w:sz w:val="24"/>
          <w:szCs w:val="24"/>
          <w:vertAlign w:val="superscript"/>
        </w:rPr>
        <w:t>[7-9]</w:t>
      </w:r>
      <w:r>
        <w:rPr>
          <w:rFonts w:ascii="Times New Roman" w:eastAsia="宋体" w:hAnsi="Times New Roman" w:hint="eastAsia"/>
          <w:sz w:val="24"/>
          <w:szCs w:val="24"/>
        </w:rPr>
        <w:t>，可参考的疗效数据相对较多，因此，</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MBC</w:t>
      </w:r>
      <w:r>
        <w:rPr>
          <w:rFonts w:ascii="Times New Roman" w:eastAsia="宋体" w:hAnsi="Times New Roman" w:hint="eastAsia"/>
          <w:sz w:val="24"/>
          <w:szCs w:val="24"/>
        </w:rPr>
        <w:t>一线治疗患者也是常选择的研究人群。如选择与其他化疗药物联合方案，应提供足够可靠的随机对照研究的数据支持，否则不利于等效界值的设置和评价。</w:t>
      </w:r>
      <w:r>
        <w:rPr>
          <w:rFonts w:ascii="Times New Roman" w:eastAsia="宋体" w:hAnsi="Times New Roman"/>
          <w:sz w:val="24"/>
          <w:szCs w:val="24"/>
        </w:rPr>
        <w:t xml:space="preserve"> </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二线及二线以上的</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MBC</w:t>
      </w:r>
      <w:r>
        <w:rPr>
          <w:rFonts w:ascii="Times New Roman" w:eastAsia="宋体" w:hAnsi="Times New Roman" w:hint="eastAsia"/>
          <w:sz w:val="24"/>
          <w:szCs w:val="24"/>
        </w:rPr>
        <w:t>对曲妥珠单抗联合化疗或单药治疗的应答率相对较低，不是评价临床有效性的敏感人群，且相关临床研究的疗效数据大多是针对二线及以上的总体患者人群，并未区分具体各线的治疗应答情况。而鉴于不同线数患者的治疗应答不同，不建议采用跨线选择患者人群的研究设计。</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曲妥珠单抗用于</w:t>
      </w:r>
      <w:r>
        <w:rPr>
          <w:rFonts w:ascii="Times New Roman" w:eastAsia="宋体" w:hAnsi="Times New Roman"/>
          <w:sz w:val="24"/>
          <w:szCs w:val="24"/>
        </w:rPr>
        <w:t>HER2</w:t>
      </w:r>
      <w:r>
        <w:rPr>
          <w:rFonts w:ascii="Times New Roman" w:eastAsia="宋体" w:hAnsi="Times New Roman" w:hint="eastAsia"/>
          <w:sz w:val="24"/>
          <w:szCs w:val="24"/>
        </w:rPr>
        <w:t>阳性乳腺癌的术后辅助治疗的疗效评价终点指标如无事件生存期（</w:t>
      </w:r>
      <w:r>
        <w:rPr>
          <w:rFonts w:ascii="Times New Roman" w:eastAsia="宋体" w:hAnsi="Times New Roman"/>
          <w:sz w:val="24"/>
          <w:szCs w:val="24"/>
        </w:rPr>
        <w:t>event-free survival</w:t>
      </w:r>
      <w:r>
        <w:rPr>
          <w:rFonts w:ascii="Times New Roman" w:eastAsia="宋体" w:hAnsi="Times New Roman" w:hint="eastAsia"/>
          <w:sz w:val="24"/>
          <w:szCs w:val="24"/>
        </w:rPr>
        <w:t>，</w:t>
      </w:r>
      <w:r>
        <w:rPr>
          <w:rFonts w:ascii="Times New Roman" w:eastAsia="宋体" w:hAnsi="Times New Roman"/>
          <w:sz w:val="24"/>
          <w:szCs w:val="24"/>
        </w:rPr>
        <w:t>EFS</w:t>
      </w:r>
      <w:r>
        <w:rPr>
          <w:rFonts w:ascii="Times New Roman" w:eastAsia="宋体" w:hAnsi="Times New Roman" w:hint="eastAsia"/>
          <w:sz w:val="24"/>
          <w:szCs w:val="24"/>
        </w:rPr>
        <w:t>）或无病生存期（</w:t>
      </w:r>
      <w:r>
        <w:rPr>
          <w:rFonts w:ascii="Times New Roman" w:eastAsia="宋体" w:hAnsi="Times New Roman"/>
          <w:sz w:val="24"/>
          <w:szCs w:val="24"/>
        </w:rPr>
        <w:t>disease-free survival</w:t>
      </w:r>
      <w:r>
        <w:rPr>
          <w:rFonts w:ascii="Times New Roman" w:eastAsia="宋体" w:hAnsi="Times New Roman" w:hint="eastAsia"/>
          <w:sz w:val="24"/>
          <w:szCs w:val="24"/>
        </w:rPr>
        <w:t>，</w:t>
      </w:r>
      <w:r>
        <w:rPr>
          <w:rFonts w:ascii="Times New Roman" w:eastAsia="宋体" w:hAnsi="Times New Roman"/>
          <w:sz w:val="24"/>
          <w:szCs w:val="24"/>
        </w:rPr>
        <w:t>DFS</w:t>
      </w:r>
      <w:r>
        <w:rPr>
          <w:rFonts w:ascii="Times New Roman" w:eastAsia="宋体" w:hAnsi="Times New Roman" w:hint="eastAsia"/>
          <w:sz w:val="24"/>
          <w:szCs w:val="24"/>
        </w:rPr>
        <w:t>）的观察时间都较长，且没有合适的替代终点指标，因此不推荐选作生物类似药临床有效性比对研究的目标适应症。</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曲妥珠单抗在国内也已获批联合化疗用于</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AGC</w:t>
      </w:r>
      <w:r>
        <w:rPr>
          <w:rFonts w:ascii="Times New Roman" w:eastAsia="宋体" w:hAnsi="Times New Roman" w:hint="eastAsia"/>
          <w:sz w:val="24"/>
          <w:szCs w:val="24"/>
        </w:rPr>
        <w:t>患者的一线治疗。</w:t>
      </w:r>
      <w:r>
        <w:rPr>
          <w:rFonts w:ascii="Times New Roman" w:eastAsia="宋体" w:hAnsi="Times New Roman"/>
          <w:sz w:val="24"/>
          <w:szCs w:val="24"/>
        </w:rPr>
        <w:t>ToGA</w:t>
      </w:r>
      <w:r>
        <w:rPr>
          <w:rFonts w:ascii="Times New Roman" w:eastAsia="宋体" w:hAnsi="Times New Roman" w:hint="eastAsia"/>
          <w:sz w:val="24"/>
          <w:szCs w:val="24"/>
        </w:rPr>
        <w:t>研究的中国亚组分析结果显示，曲妥珠单抗联合化疗（氟尿嘧啶和顺铂）与单用化疗治疗</w:t>
      </w:r>
      <w:r>
        <w:rPr>
          <w:rFonts w:ascii="Times New Roman" w:eastAsia="宋体" w:hAnsi="Times New Roman"/>
          <w:sz w:val="24"/>
          <w:szCs w:val="24"/>
        </w:rPr>
        <w:t>HER2</w:t>
      </w:r>
      <w:r>
        <w:rPr>
          <w:rFonts w:ascii="Times New Roman" w:eastAsia="宋体" w:hAnsi="Times New Roman" w:hint="eastAsia"/>
          <w:sz w:val="24"/>
          <w:szCs w:val="24"/>
        </w:rPr>
        <w:t>阳性转移性胃癌的</w:t>
      </w:r>
      <w:r>
        <w:rPr>
          <w:rFonts w:ascii="Times New Roman" w:eastAsia="宋体" w:hAnsi="Times New Roman"/>
          <w:sz w:val="24"/>
          <w:szCs w:val="24"/>
        </w:rPr>
        <w:t>ORR</w:t>
      </w:r>
      <w:r>
        <w:rPr>
          <w:rFonts w:ascii="Times New Roman" w:eastAsia="宋体" w:hAnsi="Times New Roman" w:hint="eastAsia"/>
          <w:sz w:val="24"/>
          <w:szCs w:val="24"/>
        </w:rPr>
        <w:t>分别为</w:t>
      </w:r>
      <w:r>
        <w:rPr>
          <w:rFonts w:ascii="Times New Roman" w:eastAsia="宋体" w:hAnsi="Times New Roman"/>
          <w:sz w:val="24"/>
          <w:szCs w:val="24"/>
        </w:rPr>
        <w:t>36.1%</w:t>
      </w:r>
      <w:r>
        <w:rPr>
          <w:rFonts w:ascii="Times New Roman" w:eastAsia="宋体" w:hAnsi="Times New Roman" w:hint="eastAsia"/>
          <w:sz w:val="24"/>
          <w:szCs w:val="24"/>
        </w:rPr>
        <w:t>和</w:t>
      </w:r>
      <w:r>
        <w:rPr>
          <w:rFonts w:ascii="Times New Roman" w:eastAsia="宋体" w:hAnsi="Times New Roman"/>
          <w:sz w:val="24"/>
          <w:szCs w:val="24"/>
        </w:rPr>
        <w:t>33.3%</w:t>
      </w:r>
      <w:r>
        <w:rPr>
          <w:rFonts w:ascii="Times New Roman" w:eastAsia="宋体" w:hAnsi="Times New Roman" w:hint="eastAsia"/>
          <w:sz w:val="24"/>
          <w:szCs w:val="24"/>
        </w:rPr>
        <w:t>，</w:t>
      </w:r>
      <w:r w:rsidR="007A2059" w:rsidRPr="007A2059">
        <w:rPr>
          <w:rFonts w:ascii="Times New Roman" w:eastAsia="宋体" w:hAnsi="Times New Roman" w:hint="eastAsia"/>
          <w:sz w:val="24"/>
          <w:szCs w:val="24"/>
        </w:rPr>
        <w:t>无进展生存（</w:t>
      </w:r>
      <w:r w:rsidR="007A2059" w:rsidRPr="007A2059">
        <w:rPr>
          <w:rFonts w:ascii="Times New Roman" w:eastAsia="宋体" w:hAnsi="Times New Roman"/>
          <w:sz w:val="24"/>
          <w:szCs w:val="24"/>
        </w:rPr>
        <w:t>progression free survival, PFS</w:t>
      </w:r>
      <w:r w:rsidR="007A2059" w:rsidRPr="007A2059">
        <w:rPr>
          <w:rFonts w:ascii="Times New Roman" w:eastAsia="宋体" w:hAnsi="Times New Roman"/>
          <w:sz w:val="24"/>
          <w:szCs w:val="24"/>
        </w:rPr>
        <w:t>）</w:t>
      </w:r>
      <w:r>
        <w:rPr>
          <w:rFonts w:ascii="Times New Roman" w:eastAsia="宋体" w:hAnsi="Times New Roman" w:hint="eastAsia"/>
          <w:sz w:val="24"/>
          <w:szCs w:val="24"/>
        </w:rPr>
        <w:t>分别为</w:t>
      </w:r>
      <w:r>
        <w:rPr>
          <w:rFonts w:ascii="Times New Roman" w:eastAsia="宋体" w:hAnsi="Times New Roman"/>
          <w:sz w:val="24"/>
          <w:szCs w:val="24"/>
        </w:rPr>
        <w:t>6.8</w:t>
      </w:r>
      <w:r>
        <w:rPr>
          <w:rFonts w:ascii="Times New Roman" w:eastAsia="宋体" w:hAnsi="Times New Roman" w:hint="eastAsia"/>
          <w:sz w:val="24"/>
          <w:szCs w:val="24"/>
        </w:rPr>
        <w:t>和</w:t>
      </w:r>
      <w:r>
        <w:rPr>
          <w:rFonts w:ascii="Times New Roman" w:eastAsia="宋体" w:hAnsi="Times New Roman"/>
          <w:sz w:val="24"/>
          <w:szCs w:val="24"/>
        </w:rPr>
        <w:t>5.5</w:t>
      </w:r>
      <w:r>
        <w:rPr>
          <w:rFonts w:ascii="Times New Roman" w:eastAsia="宋体" w:hAnsi="Times New Roman" w:hint="eastAsia"/>
          <w:sz w:val="24"/>
          <w:szCs w:val="24"/>
        </w:rPr>
        <w:t>月，至疾病进展时间（</w:t>
      </w:r>
      <w:r>
        <w:rPr>
          <w:rFonts w:ascii="Times New Roman" w:eastAsia="宋体" w:hAnsi="Times New Roman"/>
          <w:sz w:val="24"/>
          <w:szCs w:val="24"/>
        </w:rPr>
        <w:t>time to progression</w:t>
      </w:r>
      <w:r>
        <w:rPr>
          <w:rFonts w:ascii="Times New Roman" w:eastAsia="宋体" w:hAnsi="Times New Roman" w:hint="eastAsia"/>
          <w:sz w:val="24"/>
          <w:szCs w:val="24"/>
        </w:rPr>
        <w:t>，</w:t>
      </w:r>
      <w:r>
        <w:rPr>
          <w:rFonts w:ascii="Times New Roman" w:eastAsia="宋体" w:hAnsi="Times New Roman"/>
          <w:sz w:val="24"/>
          <w:szCs w:val="24"/>
        </w:rPr>
        <w:t>TTP</w:t>
      </w:r>
      <w:r>
        <w:rPr>
          <w:rFonts w:ascii="Times New Roman" w:eastAsia="宋体" w:hAnsi="Times New Roman" w:hint="eastAsia"/>
          <w:sz w:val="24"/>
          <w:szCs w:val="24"/>
        </w:rPr>
        <w:t>）分别为</w:t>
      </w:r>
      <w:r>
        <w:rPr>
          <w:rFonts w:ascii="Times New Roman" w:eastAsia="宋体" w:hAnsi="Times New Roman"/>
          <w:sz w:val="24"/>
          <w:szCs w:val="24"/>
        </w:rPr>
        <w:t>7.2</w:t>
      </w:r>
      <w:r>
        <w:rPr>
          <w:rFonts w:ascii="Times New Roman" w:eastAsia="宋体" w:hAnsi="Times New Roman" w:hint="eastAsia"/>
          <w:sz w:val="24"/>
          <w:szCs w:val="24"/>
        </w:rPr>
        <w:t>和</w:t>
      </w:r>
      <w:r>
        <w:rPr>
          <w:rFonts w:ascii="Times New Roman" w:eastAsia="宋体" w:hAnsi="Times New Roman"/>
          <w:sz w:val="24"/>
          <w:szCs w:val="24"/>
        </w:rPr>
        <w:t>5.7</w:t>
      </w:r>
      <w:r>
        <w:rPr>
          <w:rFonts w:ascii="Times New Roman" w:eastAsia="宋体" w:hAnsi="Times New Roman" w:hint="eastAsia"/>
          <w:sz w:val="24"/>
          <w:szCs w:val="24"/>
        </w:rPr>
        <w:t>月</w:t>
      </w:r>
      <w:r>
        <w:rPr>
          <w:rFonts w:ascii="Times New Roman" w:eastAsia="宋体" w:hAnsi="Times New Roman"/>
          <w:color w:val="444444"/>
          <w:sz w:val="24"/>
          <w:szCs w:val="24"/>
          <w:vertAlign w:val="superscript"/>
        </w:rPr>
        <w:t>[1]</w:t>
      </w:r>
      <w:r>
        <w:rPr>
          <w:rFonts w:ascii="Times New Roman" w:eastAsia="宋体" w:hAnsi="Times New Roman" w:hint="eastAsia"/>
          <w:sz w:val="24"/>
          <w:szCs w:val="24"/>
        </w:rPr>
        <w:t>。与乳腺癌相比，</w:t>
      </w:r>
      <w:r>
        <w:rPr>
          <w:rFonts w:ascii="Times New Roman" w:eastAsia="宋体" w:hAnsi="Times New Roman"/>
          <w:sz w:val="24"/>
          <w:szCs w:val="24"/>
        </w:rPr>
        <w:t>HER2</w:t>
      </w:r>
      <w:r>
        <w:rPr>
          <w:rFonts w:ascii="Times New Roman" w:eastAsia="宋体" w:hAnsi="Times New Roman" w:hint="eastAsia"/>
          <w:sz w:val="24"/>
          <w:szCs w:val="24"/>
        </w:rPr>
        <w:t>阳性转移性胃癌从曲妥珠单抗治疗中获益的程度较小，不易观察到差异，并非开展临床有效性比对研究的敏感人群。此外，胃癌的</w:t>
      </w:r>
      <w:r>
        <w:rPr>
          <w:rFonts w:ascii="Times New Roman" w:eastAsia="宋体" w:hAnsi="Times New Roman"/>
          <w:sz w:val="24"/>
          <w:szCs w:val="24"/>
        </w:rPr>
        <w:t>HER2</w:t>
      </w:r>
      <w:r>
        <w:rPr>
          <w:rFonts w:ascii="Times New Roman" w:eastAsia="宋体" w:hAnsi="Times New Roman" w:hint="eastAsia"/>
          <w:sz w:val="24"/>
          <w:szCs w:val="24"/>
        </w:rPr>
        <w:t>阳性率也较乳腺癌低，国内两项大型多中心研究数据显示，中国胃癌患者的</w:t>
      </w:r>
      <w:r>
        <w:rPr>
          <w:rFonts w:ascii="Times New Roman" w:eastAsia="宋体" w:hAnsi="Times New Roman"/>
          <w:sz w:val="24"/>
          <w:szCs w:val="24"/>
        </w:rPr>
        <w:t>HER2</w:t>
      </w:r>
      <w:r>
        <w:rPr>
          <w:rFonts w:ascii="Times New Roman" w:eastAsia="宋体" w:hAnsi="Times New Roman" w:hint="eastAsia"/>
          <w:sz w:val="24"/>
          <w:szCs w:val="24"/>
        </w:rPr>
        <w:t>阳性率为</w:t>
      </w:r>
      <w:r>
        <w:rPr>
          <w:rFonts w:ascii="Times New Roman" w:eastAsia="宋体" w:hAnsi="Times New Roman"/>
          <w:sz w:val="24"/>
          <w:szCs w:val="24"/>
        </w:rPr>
        <w:t>12~13%</w:t>
      </w:r>
      <w:r>
        <w:rPr>
          <w:rFonts w:ascii="Times New Roman" w:eastAsia="宋体" w:hAnsi="Times New Roman"/>
          <w:color w:val="444444"/>
          <w:sz w:val="24"/>
          <w:szCs w:val="24"/>
          <w:vertAlign w:val="superscript"/>
        </w:rPr>
        <w:t>[10,11]</w:t>
      </w:r>
      <w:r>
        <w:rPr>
          <w:rFonts w:ascii="Times New Roman" w:eastAsia="宋体" w:hAnsi="Times New Roman" w:hint="eastAsia"/>
          <w:sz w:val="24"/>
          <w:szCs w:val="24"/>
        </w:rPr>
        <w:t>。近年来，尽管曲妥珠联合不同化疗方案一线治疗</w:t>
      </w:r>
      <w:r>
        <w:rPr>
          <w:rFonts w:ascii="Times New Roman" w:eastAsia="宋体" w:hAnsi="Times New Roman"/>
          <w:sz w:val="24"/>
          <w:szCs w:val="24"/>
        </w:rPr>
        <w:t>HER2</w:t>
      </w:r>
      <w:r>
        <w:rPr>
          <w:rFonts w:ascii="Times New Roman" w:eastAsia="宋体" w:hAnsi="Times New Roman" w:hint="eastAsia"/>
          <w:sz w:val="24"/>
          <w:szCs w:val="24"/>
        </w:rPr>
        <w:t>阳性晚期胃癌的临床研究层出不穷，也报道了较高的</w:t>
      </w:r>
      <w:r>
        <w:rPr>
          <w:rFonts w:ascii="Times New Roman" w:eastAsia="宋体" w:hAnsi="Times New Roman"/>
          <w:sz w:val="24"/>
          <w:szCs w:val="24"/>
        </w:rPr>
        <w:t>ORR</w:t>
      </w:r>
      <w:r>
        <w:rPr>
          <w:rFonts w:ascii="Times New Roman" w:eastAsia="宋体" w:hAnsi="Times New Roman" w:hint="eastAsia"/>
          <w:sz w:val="24"/>
          <w:szCs w:val="24"/>
        </w:rPr>
        <w:t>，但这些研究大多为单臂探索性研究，很难作为等效界值的参考。综合上述因素考虑，选择胃癌作为研究人群存在操作难度，需慎重考虑。</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给药方案</w:t>
      </w:r>
      <w:r>
        <w:rPr>
          <w:rFonts w:ascii="Times New Roman" w:eastAsia="宋体" w:hAnsi="Times New Roman"/>
          <w:b/>
          <w:sz w:val="24"/>
          <w:szCs w:val="24"/>
        </w:rPr>
        <w:t>/</w:t>
      </w:r>
      <w:r>
        <w:rPr>
          <w:rFonts w:ascii="Times New Roman" w:eastAsia="宋体" w:hAnsi="Times New Roman" w:hint="eastAsia"/>
          <w:b/>
          <w:sz w:val="24"/>
          <w:szCs w:val="24"/>
        </w:rPr>
        <w:t>剂量：</w:t>
      </w:r>
      <w:r>
        <w:rPr>
          <w:rFonts w:ascii="Times New Roman" w:eastAsia="宋体" w:hAnsi="Times New Roman" w:hint="eastAsia"/>
          <w:sz w:val="24"/>
          <w:szCs w:val="24"/>
        </w:rPr>
        <w:t>赫赛汀在不同适应症不同的联合方案中可选择</w:t>
      </w:r>
      <w:r>
        <w:rPr>
          <w:rFonts w:ascii="Times New Roman" w:eastAsia="宋体" w:hAnsi="Times New Roman"/>
          <w:sz w:val="24"/>
          <w:szCs w:val="24"/>
        </w:rPr>
        <w:t>3</w:t>
      </w:r>
      <w:r>
        <w:rPr>
          <w:rFonts w:ascii="Times New Roman" w:eastAsia="宋体" w:hAnsi="Times New Roman" w:hint="eastAsia"/>
          <w:sz w:val="24"/>
          <w:szCs w:val="24"/>
        </w:rPr>
        <w:t>周一次（初始负荷剂量为</w:t>
      </w:r>
      <w:r>
        <w:rPr>
          <w:rFonts w:ascii="Times New Roman" w:eastAsia="宋体" w:hAnsi="Times New Roman"/>
          <w:sz w:val="24"/>
          <w:szCs w:val="24"/>
        </w:rPr>
        <w:t>8mg/kg</w:t>
      </w:r>
      <w:r>
        <w:rPr>
          <w:rFonts w:ascii="Times New Roman" w:eastAsia="宋体" w:hAnsi="Times New Roman" w:hint="eastAsia"/>
          <w:sz w:val="24"/>
          <w:szCs w:val="24"/>
        </w:rPr>
        <w:t>，随后</w:t>
      </w:r>
      <w:r>
        <w:rPr>
          <w:rFonts w:ascii="Times New Roman" w:eastAsia="宋体" w:hAnsi="Times New Roman"/>
          <w:sz w:val="24"/>
          <w:szCs w:val="24"/>
        </w:rPr>
        <w:t>6mg/kg</w:t>
      </w:r>
      <w:r>
        <w:rPr>
          <w:rFonts w:ascii="Times New Roman" w:eastAsia="宋体" w:hAnsi="Times New Roman" w:hint="eastAsia"/>
          <w:sz w:val="24"/>
          <w:szCs w:val="24"/>
        </w:rPr>
        <w:t>每</w:t>
      </w:r>
      <w:r>
        <w:rPr>
          <w:rFonts w:ascii="Times New Roman" w:eastAsia="宋体" w:hAnsi="Times New Roman"/>
          <w:sz w:val="24"/>
          <w:szCs w:val="24"/>
        </w:rPr>
        <w:t>3</w:t>
      </w:r>
      <w:r>
        <w:rPr>
          <w:rFonts w:ascii="Times New Roman" w:eastAsia="宋体" w:hAnsi="Times New Roman" w:hint="eastAsia"/>
          <w:sz w:val="24"/>
          <w:szCs w:val="24"/>
        </w:rPr>
        <w:t>周给药一次）和每周一次（初始负荷剂量为</w:t>
      </w:r>
      <w:r>
        <w:rPr>
          <w:rFonts w:ascii="Times New Roman" w:eastAsia="宋体" w:hAnsi="Times New Roman"/>
          <w:sz w:val="24"/>
          <w:szCs w:val="24"/>
        </w:rPr>
        <w:t>4mg/kg</w:t>
      </w:r>
      <w:r>
        <w:rPr>
          <w:rFonts w:ascii="Times New Roman" w:eastAsia="宋体" w:hAnsi="Times New Roman" w:hint="eastAsia"/>
          <w:sz w:val="24"/>
          <w:szCs w:val="24"/>
        </w:rPr>
        <w:t>，随后</w:t>
      </w:r>
      <w:r>
        <w:rPr>
          <w:rFonts w:ascii="Times New Roman" w:eastAsia="宋体" w:hAnsi="Times New Roman"/>
          <w:sz w:val="24"/>
          <w:szCs w:val="24"/>
        </w:rPr>
        <w:t>2mg/kg</w:t>
      </w:r>
      <w:r>
        <w:rPr>
          <w:rFonts w:ascii="Times New Roman" w:eastAsia="宋体" w:hAnsi="Times New Roman" w:hint="eastAsia"/>
          <w:sz w:val="24"/>
          <w:szCs w:val="24"/>
        </w:rPr>
        <w:t>每周给药一次）的给药方案，用于转移性胃癌则为</w:t>
      </w:r>
      <w:r>
        <w:rPr>
          <w:rFonts w:ascii="Times New Roman" w:eastAsia="宋体" w:hAnsi="Times New Roman"/>
          <w:sz w:val="24"/>
          <w:szCs w:val="24"/>
        </w:rPr>
        <w:t>3</w:t>
      </w:r>
      <w:r>
        <w:rPr>
          <w:rFonts w:ascii="Times New Roman" w:eastAsia="宋体" w:hAnsi="Times New Roman" w:hint="eastAsia"/>
          <w:sz w:val="24"/>
          <w:szCs w:val="24"/>
        </w:rPr>
        <w:t>周一次给药方案。临床有效性比对研究中应选择与原研药国内获批的给药剂量一致。</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研究终点</w:t>
      </w:r>
      <w:r>
        <w:rPr>
          <w:rFonts w:ascii="Times New Roman" w:eastAsia="宋体" w:hAnsi="Times New Roman" w:hint="eastAsia"/>
          <w:sz w:val="24"/>
          <w:szCs w:val="24"/>
        </w:rPr>
        <w:t>：主要研究终点的选择应基于能敏感甄别出候选药与参照药的临床疗效差异，而肿瘤新药临床研究中常用的疗效终点</w:t>
      </w:r>
      <w:r>
        <w:rPr>
          <w:rFonts w:ascii="Times New Roman" w:eastAsia="宋体" w:hAnsi="Times New Roman"/>
          <w:sz w:val="24"/>
          <w:szCs w:val="24"/>
        </w:rPr>
        <w:t>PFS</w:t>
      </w:r>
      <w:r>
        <w:rPr>
          <w:rFonts w:ascii="Times New Roman" w:eastAsia="宋体" w:hAnsi="Times New Roman" w:hint="eastAsia"/>
          <w:sz w:val="24"/>
          <w:szCs w:val="24"/>
        </w:rPr>
        <w:t>、</w:t>
      </w:r>
      <w:r w:rsidR="007A2059" w:rsidRPr="007A2059">
        <w:rPr>
          <w:rFonts w:ascii="Times New Roman" w:eastAsia="宋体" w:hAnsi="Times New Roman" w:hint="eastAsia"/>
          <w:sz w:val="24"/>
          <w:szCs w:val="24"/>
        </w:rPr>
        <w:t>总生存期（</w:t>
      </w:r>
      <w:r w:rsidR="007A2059" w:rsidRPr="007A2059">
        <w:rPr>
          <w:rFonts w:ascii="Times New Roman" w:eastAsia="宋体" w:hAnsi="Times New Roman"/>
          <w:sz w:val="24"/>
          <w:szCs w:val="24"/>
        </w:rPr>
        <w:t>overall survival, OS</w:t>
      </w:r>
      <w:r w:rsidR="007A2059" w:rsidRPr="007A2059">
        <w:rPr>
          <w:rFonts w:ascii="Times New Roman" w:eastAsia="宋体" w:hAnsi="Times New Roman"/>
          <w:sz w:val="24"/>
          <w:szCs w:val="24"/>
        </w:rPr>
        <w:t>）</w:t>
      </w:r>
      <w:r>
        <w:rPr>
          <w:rFonts w:ascii="Times New Roman" w:eastAsia="宋体" w:hAnsi="Times New Roman" w:hint="eastAsia"/>
          <w:sz w:val="24"/>
          <w:szCs w:val="24"/>
        </w:rPr>
        <w:t>并不是最敏感的指标。</w:t>
      </w:r>
      <w:r>
        <w:rPr>
          <w:rFonts w:ascii="Times New Roman" w:eastAsia="宋体" w:hAnsi="Times New Roman"/>
          <w:sz w:val="24"/>
          <w:szCs w:val="24"/>
        </w:rPr>
        <w:t>EMA</w:t>
      </w:r>
      <w:r>
        <w:rPr>
          <w:rFonts w:ascii="Times New Roman" w:eastAsia="宋体" w:hAnsi="Times New Roman" w:hint="eastAsia"/>
          <w:sz w:val="24"/>
          <w:szCs w:val="24"/>
        </w:rPr>
        <w:t>推荐选择可直接反映药物作用活性的临床终点如</w:t>
      </w:r>
      <w:r>
        <w:rPr>
          <w:rFonts w:ascii="Times New Roman" w:eastAsia="宋体" w:hAnsi="Times New Roman"/>
          <w:sz w:val="24"/>
          <w:szCs w:val="24"/>
        </w:rPr>
        <w:t>ORR</w:t>
      </w:r>
      <w:r>
        <w:rPr>
          <w:rFonts w:ascii="Times New Roman" w:eastAsia="宋体" w:hAnsi="Times New Roman" w:hint="eastAsia"/>
          <w:sz w:val="24"/>
          <w:szCs w:val="24"/>
        </w:rPr>
        <w:t>或</w:t>
      </w:r>
      <w:r>
        <w:rPr>
          <w:rFonts w:ascii="Times New Roman" w:eastAsia="宋体" w:hAnsi="Times New Roman"/>
          <w:sz w:val="24"/>
          <w:szCs w:val="24"/>
        </w:rPr>
        <w:t>pCR</w:t>
      </w:r>
      <w:r>
        <w:rPr>
          <w:rFonts w:ascii="Times New Roman" w:eastAsia="宋体" w:hAnsi="Times New Roman"/>
          <w:sz w:val="24"/>
          <w:szCs w:val="24"/>
          <w:vertAlign w:val="superscript"/>
        </w:rPr>
        <w:t>[3]</w:t>
      </w:r>
      <w:r>
        <w:rPr>
          <w:rFonts w:ascii="Times New Roman" w:eastAsia="宋体" w:hAnsi="Times New Roman" w:hint="eastAsia"/>
          <w:sz w:val="24"/>
          <w:szCs w:val="24"/>
        </w:rPr>
        <w:t>。赫赛汀的临床试验数据的荟萃分析也提示，</w:t>
      </w:r>
      <w:r>
        <w:rPr>
          <w:rFonts w:ascii="Times New Roman" w:eastAsia="宋体" w:hAnsi="Times New Roman"/>
          <w:sz w:val="24"/>
          <w:szCs w:val="24"/>
        </w:rPr>
        <w:t>pCR</w:t>
      </w:r>
      <w:r>
        <w:rPr>
          <w:rFonts w:ascii="Times New Roman" w:eastAsia="宋体" w:hAnsi="Times New Roman" w:hint="eastAsia"/>
          <w:sz w:val="24"/>
          <w:szCs w:val="24"/>
        </w:rPr>
        <w:t>和</w:t>
      </w:r>
      <w:r>
        <w:rPr>
          <w:rFonts w:ascii="Times New Roman" w:eastAsia="宋体" w:hAnsi="Times New Roman"/>
          <w:sz w:val="24"/>
          <w:szCs w:val="24"/>
        </w:rPr>
        <w:t>ORR</w:t>
      </w:r>
      <w:r>
        <w:rPr>
          <w:rFonts w:ascii="Times New Roman" w:eastAsia="宋体" w:hAnsi="Times New Roman" w:hint="eastAsia"/>
          <w:sz w:val="24"/>
          <w:szCs w:val="24"/>
        </w:rPr>
        <w:t>分别为</w:t>
      </w:r>
      <w:r>
        <w:rPr>
          <w:rFonts w:ascii="Times New Roman" w:eastAsia="宋体" w:hAnsi="Times New Roman"/>
          <w:sz w:val="24"/>
          <w:szCs w:val="24"/>
        </w:rPr>
        <w:t>HER2</w:t>
      </w:r>
      <w:r>
        <w:rPr>
          <w:rFonts w:ascii="Times New Roman" w:eastAsia="宋体" w:hAnsi="Times New Roman" w:hint="eastAsia"/>
          <w:sz w:val="24"/>
          <w:szCs w:val="24"/>
        </w:rPr>
        <w:t>阳性早期乳腺癌新辅助治疗和转移性乳腺癌一线治疗的敏感的疗效终点指标</w:t>
      </w:r>
      <w:r>
        <w:rPr>
          <w:rFonts w:ascii="Times New Roman" w:eastAsia="宋体" w:hAnsi="Times New Roman"/>
          <w:sz w:val="24"/>
          <w:szCs w:val="24"/>
          <w:vertAlign w:val="superscript"/>
        </w:rPr>
        <w:t>[6]</w:t>
      </w:r>
      <w:r>
        <w:rPr>
          <w:rFonts w:ascii="Times New Roman" w:eastAsia="宋体" w:hAnsi="Times New Roman" w:hint="eastAsia"/>
          <w:sz w:val="24"/>
          <w:szCs w:val="24"/>
        </w:rPr>
        <w:t>，可作为曲妥珠单抗生物类似药临床有效性比对研究的主要终点。</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曲妥珠单抗联合化疗用于</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MBC</w:t>
      </w:r>
      <w:r>
        <w:rPr>
          <w:rFonts w:ascii="Times New Roman" w:eastAsia="宋体" w:hAnsi="Times New Roman" w:hint="eastAsia"/>
          <w:sz w:val="24"/>
          <w:szCs w:val="24"/>
        </w:rPr>
        <w:t>一线治疗时，有效化疗应持续</w:t>
      </w:r>
      <w:r>
        <w:rPr>
          <w:rFonts w:ascii="Times New Roman" w:eastAsia="宋体" w:hAnsi="Times New Roman"/>
          <w:sz w:val="24"/>
          <w:szCs w:val="24"/>
        </w:rPr>
        <w:t>6~8</w:t>
      </w:r>
      <w:r>
        <w:rPr>
          <w:rFonts w:ascii="Times New Roman" w:eastAsia="宋体" w:hAnsi="Times New Roman" w:hint="eastAsia"/>
          <w:sz w:val="24"/>
          <w:szCs w:val="24"/>
        </w:rPr>
        <w:t>个周期，化疗停止后曲妥珠单抗继续维持治疗，如选择曲妥珠单抗联合化疗的方案，常选择</w:t>
      </w:r>
      <w:r>
        <w:rPr>
          <w:rFonts w:ascii="Times New Roman" w:eastAsia="宋体" w:hAnsi="Times New Roman"/>
          <w:sz w:val="24"/>
          <w:szCs w:val="24"/>
        </w:rPr>
        <w:t>24</w:t>
      </w:r>
      <w:r>
        <w:rPr>
          <w:rFonts w:ascii="Times New Roman" w:eastAsia="宋体" w:hAnsi="Times New Roman" w:hint="eastAsia"/>
          <w:sz w:val="24"/>
          <w:szCs w:val="24"/>
        </w:rPr>
        <w:t>周</w:t>
      </w:r>
      <w:r>
        <w:rPr>
          <w:rFonts w:ascii="Times New Roman" w:eastAsia="宋体" w:hAnsi="Times New Roman"/>
          <w:sz w:val="24"/>
          <w:szCs w:val="24"/>
        </w:rPr>
        <w:t>(8</w:t>
      </w:r>
      <w:r>
        <w:rPr>
          <w:rFonts w:ascii="Times New Roman" w:eastAsia="宋体" w:hAnsi="Times New Roman" w:hint="eastAsia"/>
          <w:sz w:val="24"/>
          <w:szCs w:val="24"/>
        </w:rPr>
        <w:t>个周期</w:t>
      </w:r>
      <w:r>
        <w:rPr>
          <w:rFonts w:ascii="Times New Roman" w:eastAsia="宋体" w:hAnsi="Times New Roman"/>
          <w:sz w:val="24"/>
          <w:szCs w:val="24"/>
        </w:rPr>
        <w:t>)</w:t>
      </w:r>
      <w:r>
        <w:rPr>
          <w:rFonts w:ascii="Times New Roman" w:eastAsia="宋体" w:hAnsi="Times New Roman" w:hint="eastAsia"/>
          <w:sz w:val="24"/>
          <w:szCs w:val="24"/>
        </w:rPr>
        <w:t>的</w:t>
      </w:r>
      <w:r>
        <w:rPr>
          <w:rFonts w:ascii="Times New Roman" w:eastAsia="宋体" w:hAnsi="Times New Roman"/>
          <w:sz w:val="24"/>
          <w:szCs w:val="24"/>
        </w:rPr>
        <w:t>ORR</w:t>
      </w:r>
      <w:r>
        <w:rPr>
          <w:rFonts w:ascii="Times New Roman" w:eastAsia="宋体" w:hAnsi="Times New Roman" w:hint="eastAsia"/>
          <w:sz w:val="24"/>
          <w:szCs w:val="24"/>
        </w:rPr>
        <w:t>作为等效性评价的主要疗效终点。同时提供</w:t>
      </w:r>
      <w:r>
        <w:rPr>
          <w:rFonts w:ascii="Times New Roman" w:eastAsia="宋体" w:hAnsi="Times New Roman"/>
          <w:sz w:val="24"/>
          <w:szCs w:val="24"/>
        </w:rPr>
        <w:t>PFS</w:t>
      </w:r>
      <w:r>
        <w:rPr>
          <w:rFonts w:ascii="Times New Roman" w:eastAsia="宋体" w:hAnsi="Times New Roman" w:hint="eastAsia"/>
          <w:sz w:val="24"/>
          <w:szCs w:val="24"/>
        </w:rPr>
        <w:t>、缓解持续时间（</w:t>
      </w:r>
      <w:r>
        <w:rPr>
          <w:rFonts w:ascii="Times New Roman" w:eastAsia="宋体" w:hAnsi="Times New Roman"/>
          <w:sz w:val="24"/>
          <w:szCs w:val="24"/>
        </w:rPr>
        <w:t>duration of response</w:t>
      </w:r>
      <w:r>
        <w:rPr>
          <w:rFonts w:ascii="Times New Roman" w:eastAsia="宋体" w:hAnsi="Times New Roman" w:hint="eastAsia"/>
          <w:sz w:val="24"/>
          <w:szCs w:val="24"/>
        </w:rPr>
        <w:t>，</w:t>
      </w:r>
      <w:r>
        <w:rPr>
          <w:rFonts w:ascii="Times New Roman" w:eastAsia="宋体" w:hAnsi="Times New Roman"/>
          <w:sz w:val="24"/>
          <w:szCs w:val="24"/>
        </w:rPr>
        <w:t>D</w:t>
      </w:r>
      <w:r w:rsidR="00674711">
        <w:rPr>
          <w:rFonts w:ascii="Times New Roman" w:eastAsia="宋体" w:hAnsi="Times New Roman"/>
          <w:sz w:val="24"/>
          <w:szCs w:val="24"/>
        </w:rPr>
        <w:t>o</w:t>
      </w:r>
      <w:r>
        <w:rPr>
          <w:rFonts w:ascii="Times New Roman" w:eastAsia="宋体" w:hAnsi="Times New Roman"/>
          <w:sz w:val="24"/>
          <w:szCs w:val="24"/>
        </w:rPr>
        <w:t>R</w:t>
      </w:r>
      <w:r>
        <w:rPr>
          <w:rFonts w:ascii="Times New Roman" w:eastAsia="宋体" w:hAnsi="Times New Roman" w:hint="eastAsia"/>
          <w:sz w:val="24"/>
          <w:szCs w:val="24"/>
        </w:rPr>
        <w:t>）、</w:t>
      </w:r>
      <w:r>
        <w:rPr>
          <w:rFonts w:ascii="Times New Roman" w:eastAsia="宋体" w:hAnsi="Times New Roman"/>
          <w:sz w:val="24"/>
          <w:szCs w:val="24"/>
        </w:rPr>
        <w:t>OS</w:t>
      </w:r>
      <w:r>
        <w:rPr>
          <w:rFonts w:ascii="Times New Roman" w:eastAsia="宋体" w:hAnsi="Times New Roman" w:hint="eastAsia"/>
          <w:sz w:val="24"/>
          <w:szCs w:val="24"/>
        </w:rPr>
        <w:t>等次要终点指标作为支持。</w:t>
      </w:r>
    </w:p>
    <w:p w:rsidR="00A679F1" w:rsidRDefault="00A679F1" w:rsidP="00A679F1">
      <w:pPr>
        <w:spacing w:line="360" w:lineRule="auto"/>
        <w:ind w:firstLineChars="200" w:firstLine="482"/>
        <w:rPr>
          <w:rFonts w:ascii="Times New Roman" w:eastAsia="宋体" w:hAnsi="Times New Roman"/>
          <w:sz w:val="24"/>
          <w:szCs w:val="24"/>
        </w:rPr>
      </w:pPr>
      <w:r>
        <w:rPr>
          <w:rFonts w:ascii="Times New Roman" w:eastAsia="宋体" w:hAnsi="Times New Roman" w:hint="eastAsia"/>
          <w:b/>
          <w:sz w:val="24"/>
          <w:szCs w:val="24"/>
        </w:rPr>
        <w:t>界值选择与样本量计算：</w:t>
      </w:r>
      <w:r>
        <w:rPr>
          <w:rFonts w:ascii="Times New Roman" w:eastAsia="宋体" w:hAnsi="Times New Roman" w:hint="eastAsia"/>
          <w:sz w:val="24"/>
          <w:szCs w:val="24"/>
        </w:rPr>
        <w:t>目前国际上学术界计算设定界值时对使用候选药与参照药研究终点的差值（</w:t>
      </w:r>
      <w:r>
        <w:rPr>
          <w:rFonts w:ascii="Times New Roman" w:eastAsia="宋体" w:hAnsi="Times New Roman"/>
          <w:sz w:val="24"/>
          <w:szCs w:val="24"/>
        </w:rPr>
        <w:t>Risk Difference</w:t>
      </w:r>
      <w:r>
        <w:rPr>
          <w:rFonts w:ascii="Times New Roman" w:eastAsia="宋体" w:hAnsi="Times New Roman" w:hint="eastAsia"/>
          <w:sz w:val="24"/>
          <w:szCs w:val="24"/>
        </w:rPr>
        <w:t>，</w:t>
      </w:r>
      <w:r>
        <w:rPr>
          <w:rFonts w:ascii="Times New Roman" w:eastAsia="宋体" w:hAnsi="Times New Roman"/>
          <w:sz w:val="24"/>
          <w:szCs w:val="24"/>
        </w:rPr>
        <w:t>RD</w:t>
      </w:r>
      <w:r>
        <w:rPr>
          <w:rFonts w:ascii="Times New Roman" w:eastAsia="宋体" w:hAnsi="Times New Roman" w:hint="eastAsia"/>
          <w:sz w:val="24"/>
          <w:szCs w:val="24"/>
        </w:rPr>
        <w:t>）或者比值（</w:t>
      </w:r>
      <w:r>
        <w:rPr>
          <w:rFonts w:ascii="Times New Roman" w:eastAsia="宋体" w:hAnsi="Times New Roman"/>
          <w:sz w:val="24"/>
          <w:szCs w:val="24"/>
        </w:rPr>
        <w:t>Risk Ratio</w:t>
      </w:r>
      <w:r>
        <w:rPr>
          <w:rFonts w:ascii="Times New Roman" w:eastAsia="宋体" w:hAnsi="Times New Roman" w:hint="eastAsia"/>
          <w:sz w:val="24"/>
          <w:szCs w:val="24"/>
        </w:rPr>
        <w:t>，</w:t>
      </w:r>
      <w:r>
        <w:rPr>
          <w:rFonts w:ascii="Times New Roman" w:eastAsia="宋体" w:hAnsi="Times New Roman"/>
          <w:sz w:val="24"/>
          <w:szCs w:val="24"/>
        </w:rPr>
        <w:t>RR</w:t>
      </w:r>
      <w:r>
        <w:rPr>
          <w:rFonts w:ascii="Times New Roman" w:eastAsia="宋体" w:hAnsi="Times New Roman" w:hint="eastAsia"/>
          <w:sz w:val="24"/>
          <w:szCs w:val="24"/>
        </w:rPr>
        <w:t>）仍存在争议。</w:t>
      </w:r>
      <w:r>
        <w:rPr>
          <w:rFonts w:ascii="Times New Roman" w:eastAsia="宋体" w:hAnsi="Times New Roman"/>
          <w:sz w:val="24"/>
          <w:szCs w:val="24"/>
        </w:rPr>
        <w:t>RR</w:t>
      </w:r>
      <w:r>
        <w:rPr>
          <w:rFonts w:ascii="Times New Roman" w:eastAsia="宋体" w:hAnsi="Times New Roman" w:hint="eastAsia"/>
          <w:sz w:val="24"/>
          <w:szCs w:val="24"/>
        </w:rPr>
        <w:t>与</w:t>
      </w:r>
      <w:r>
        <w:rPr>
          <w:rFonts w:ascii="Times New Roman" w:eastAsia="宋体" w:hAnsi="Times New Roman"/>
          <w:sz w:val="24"/>
          <w:szCs w:val="24"/>
        </w:rPr>
        <w:t>RD</w:t>
      </w:r>
      <w:r>
        <w:rPr>
          <w:rFonts w:ascii="Times New Roman" w:eastAsia="宋体" w:hAnsi="Times New Roman" w:hint="eastAsia"/>
          <w:sz w:val="24"/>
          <w:szCs w:val="24"/>
        </w:rPr>
        <w:t>在大部分情况下是相当的，以</w:t>
      </w:r>
      <w:r>
        <w:rPr>
          <w:rFonts w:ascii="Times New Roman" w:eastAsia="宋体" w:hAnsi="Times New Roman"/>
          <w:sz w:val="24"/>
          <w:szCs w:val="24"/>
        </w:rPr>
        <w:t>RR</w:t>
      </w:r>
      <w:r>
        <w:rPr>
          <w:rFonts w:ascii="Times New Roman" w:eastAsia="宋体" w:hAnsi="Times New Roman" w:hint="eastAsia"/>
          <w:sz w:val="24"/>
          <w:szCs w:val="24"/>
        </w:rPr>
        <w:t>计算设定曲妥珠单抗临床有效性比对研究的等效界值。</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等效界值可基于参照药治疗效应的置信区间下限估算得到，参照药治疗效应则是参照药组与对照组的疗效比值</w:t>
      </w:r>
      <w:r>
        <w:rPr>
          <w:rFonts w:ascii="Times New Roman" w:eastAsia="宋体" w:hAnsi="Times New Roman"/>
          <w:sz w:val="24"/>
          <w:szCs w:val="24"/>
        </w:rPr>
        <w:t>/</w:t>
      </w:r>
      <w:r>
        <w:rPr>
          <w:rFonts w:ascii="Times New Roman" w:eastAsia="宋体" w:hAnsi="Times New Roman" w:hint="eastAsia"/>
          <w:sz w:val="24"/>
          <w:szCs w:val="24"/>
        </w:rPr>
        <w:t>差值。例如选择联合紫杉类一线治疗</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MBC</w:t>
      </w:r>
      <w:r>
        <w:rPr>
          <w:rFonts w:ascii="Times New Roman" w:eastAsia="宋体" w:hAnsi="Times New Roman" w:hint="eastAsia"/>
          <w:sz w:val="24"/>
          <w:szCs w:val="24"/>
        </w:rPr>
        <w:t>适应症开展临床有效性比对研究，可基于</w:t>
      </w:r>
      <w:r>
        <w:rPr>
          <w:rFonts w:ascii="Times New Roman" w:eastAsia="宋体" w:hAnsi="Times New Roman"/>
          <w:sz w:val="24"/>
          <w:szCs w:val="24"/>
        </w:rPr>
        <w:t>3</w:t>
      </w:r>
      <w:r>
        <w:rPr>
          <w:rFonts w:ascii="Times New Roman" w:eastAsia="宋体" w:hAnsi="Times New Roman" w:hint="eastAsia"/>
          <w:sz w:val="24"/>
          <w:szCs w:val="24"/>
        </w:rPr>
        <w:t>项赫赛汀联合紫杉类对比单用紫杉类化疗一线治疗</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MBC</w:t>
      </w:r>
      <w:r>
        <w:rPr>
          <w:rFonts w:ascii="Times New Roman" w:eastAsia="宋体" w:hAnsi="Times New Roman" w:hint="eastAsia"/>
          <w:sz w:val="24"/>
          <w:szCs w:val="24"/>
        </w:rPr>
        <w:t>的</w:t>
      </w:r>
      <w:r>
        <w:rPr>
          <w:rFonts w:ascii="Times New Roman" w:eastAsia="宋体" w:hAnsi="Times New Roman"/>
          <w:sz w:val="24"/>
          <w:szCs w:val="24"/>
        </w:rPr>
        <w:t>II/III</w:t>
      </w:r>
      <w:r>
        <w:rPr>
          <w:rFonts w:ascii="Times New Roman" w:eastAsia="宋体" w:hAnsi="Times New Roman" w:hint="eastAsia"/>
          <w:sz w:val="24"/>
          <w:szCs w:val="24"/>
        </w:rPr>
        <w:t>期随机对照研究，通过荟萃分析得到赫赛汀联合紫杉类与单用紫杉类一线治疗</w:t>
      </w:r>
      <w:r>
        <w:rPr>
          <w:rFonts w:ascii="Times New Roman" w:eastAsia="宋体" w:hAnsi="Times New Roman"/>
          <w:sz w:val="24"/>
          <w:szCs w:val="24"/>
        </w:rPr>
        <w:t>HER2</w:t>
      </w:r>
      <w:r>
        <w:rPr>
          <w:rFonts w:ascii="Times New Roman" w:eastAsia="宋体" w:hAnsi="Times New Roman" w:hint="eastAsia"/>
          <w:sz w:val="24"/>
          <w:szCs w:val="24"/>
        </w:rPr>
        <w:t>阳性</w:t>
      </w:r>
      <w:r>
        <w:rPr>
          <w:rFonts w:ascii="Times New Roman" w:eastAsia="宋体" w:hAnsi="Times New Roman"/>
          <w:sz w:val="24"/>
          <w:szCs w:val="24"/>
        </w:rPr>
        <w:t>MBC</w:t>
      </w:r>
      <w:r>
        <w:rPr>
          <w:rFonts w:ascii="Times New Roman" w:eastAsia="宋体" w:hAnsi="Times New Roman" w:hint="eastAsia"/>
          <w:sz w:val="24"/>
          <w:szCs w:val="24"/>
        </w:rPr>
        <w:t>的</w:t>
      </w:r>
      <w:r>
        <w:rPr>
          <w:rFonts w:ascii="Times New Roman" w:eastAsia="宋体" w:hAnsi="Times New Roman"/>
          <w:sz w:val="24"/>
          <w:szCs w:val="24"/>
        </w:rPr>
        <w:t>ORR</w:t>
      </w:r>
      <w:r>
        <w:rPr>
          <w:rFonts w:ascii="Times New Roman" w:eastAsia="宋体" w:hAnsi="Times New Roman" w:hint="eastAsia"/>
          <w:sz w:val="24"/>
          <w:szCs w:val="24"/>
        </w:rPr>
        <w:t>的比值（</w:t>
      </w:r>
      <w:r>
        <w:rPr>
          <w:rFonts w:ascii="Times New Roman" w:eastAsia="宋体" w:hAnsi="Times New Roman"/>
          <w:sz w:val="24"/>
          <w:szCs w:val="24"/>
        </w:rPr>
        <w:t>RR</w:t>
      </w:r>
      <w:r>
        <w:rPr>
          <w:rFonts w:ascii="Times New Roman" w:eastAsia="宋体" w:hAnsi="Times New Roman" w:hint="eastAsia"/>
          <w:sz w:val="24"/>
          <w:szCs w:val="24"/>
        </w:rPr>
        <w:t>）的点估计值及</w:t>
      </w:r>
      <w:r>
        <w:rPr>
          <w:rFonts w:ascii="Times New Roman" w:eastAsia="宋体" w:hAnsi="Times New Roman"/>
          <w:sz w:val="24"/>
          <w:szCs w:val="24"/>
        </w:rPr>
        <w:t>95%</w:t>
      </w:r>
      <w:r>
        <w:rPr>
          <w:rFonts w:ascii="Times New Roman" w:eastAsia="宋体" w:hAnsi="Times New Roman" w:hint="eastAsia"/>
          <w:sz w:val="24"/>
          <w:szCs w:val="24"/>
        </w:rPr>
        <w:t>可信区间为</w:t>
      </w:r>
      <w:r>
        <w:rPr>
          <w:rFonts w:ascii="Times New Roman" w:eastAsia="宋体" w:hAnsi="Times New Roman"/>
          <w:sz w:val="24"/>
          <w:szCs w:val="24"/>
        </w:rPr>
        <w:t>1.92(1.544, 2.386)</w:t>
      </w:r>
      <w:r>
        <w:rPr>
          <w:rFonts w:ascii="Times New Roman" w:eastAsia="宋体" w:hAnsi="Times New Roman" w:hint="eastAsia"/>
          <w:sz w:val="24"/>
          <w:szCs w:val="24"/>
        </w:rPr>
        <w:t>，即为赫赛汀在此适应症中的治疗效应</w:t>
      </w:r>
      <w:r>
        <w:rPr>
          <w:rFonts w:ascii="Times New Roman" w:eastAsia="宋体" w:hAnsi="Times New Roman"/>
          <w:sz w:val="24"/>
          <w:szCs w:val="24"/>
          <w:vertAlign w:val="superscript"/>
        </w:rPr>
        <w:t>[12]</w:t>
      </w:r>
      <w:r>
        <w:rPr>
          <w:rFonts w:ascii="Times New Roman" w:eastAsia="宋体" w:hAnsi="Times New Roman" w:hint="eastAsia"/>
          <w:sz w:val="24"/>
          <w:szCs w:val="24"/>
        </w:rPr>
        <w:t>。通常将保留参照药治疗效应的</w:t>
      </w:r>
      <w:r>
        <w:rPr>
          <w:rFonts w:ascii="Times New Roman" w:eastAsia="宋体" w:hAnsi="Times New Roman"/>
          <w:sz w:val="24"/>
          <w:szCs w:val="24"/>
        </w:rPr>
        <w:t>50%</w:t>
      </w:r>
      <w:r>
        <w:rPr>
          <w:rFonts w:ascii="Times New Roman" w:eastAsia="宋体" w:hAnsi="Times New Roman" w:hint="eastAsia"/>
          <w:sz w:val="24"/>
          <w:szCs w:val="24"/>
        </w:rPr>
        <w:t>作为等效界值的设定规则，保守的估计赫赛汀治疗效应为</w:t>
      </w:r>
      <w:r>
        <w:rPr>
          <w:rFonts w:ascii="Times New Roman" w:eastAsia="宋体" w:hAnsi="Times New Roman"/>
          <w:sz w:val="24"/>
          <w:szCs w:val="24"/>
        </w:rPr>
        <w:t>1.544</w:t>
      </w:r>
      <w:r>
        <w:rPr>
          <w:rFonts w:ascii="Times New Roman" w:eastAsia="宋体" w:hAnsi="Times New Roman" w:hint="eastAsia"/>
          <w:sz w:val="24"/>
          <w:szCs w:val="24"/>
        </w:rPr>
        <w:t>（即</w:t>
      </w:r>
      <w:r>
        <w:rPr>
          <w:rFonts w:ascii="Times New Roman" w:eastAsia="宋体" w:hAnsi="Times New Roman"/>
          <w:sz w:val="24"/>
          <w:szCs w:val="24"/>
        </w:rPr>
        <w:t>95%</w:t>
      </w:r>
      <w:r>
        <w:rPr>
          <w:rFonts w:ascii="Times New Roman" w:eastAsia="宋体" w:hAnsi="Times New Roman" w:hint="eastAsia"/>
          <w:sz w:val="24"/>
          <w:szCs w:val="24"/>
        </w:rPr>
        <w:t>可信区间下限），那么保留其治疗效应的</w:t>
      </w:r>
      <w:r>
        <w:rPr>
          <w:rFonts w:ascii="Times New Roman" w:eastAsia="宋体" w:hAnsi="Times New Roman"/>
          <w:sz w:val="24"/>
          <w:szCs w:val="24"/>
        </w:rPr>
        <w:t>50%</w:t>
      </w:r>
      <w:r>
        <w:rPr>
          <w:rFonts w:ascii="Times New Roman" w:eastAsia="宋体" w:hAnsi="Times New Roman" w:hint="eastAsia"/>
          <w:sz w:val="24"/>
          <w:szCs w:val="24"/>
        </w:rPr>
        <w:t>为</w:t>
      </w:r>
      <w:r>
        <w:rPr>
          <w:rFonts w:ascii="Times New Roman" w:eastAsia="宋体" w:hAnsi="Times New Roman"/>
          <w:sz w:val="24"/>
          <w:szCs w:val="24"/>
        </w:rPr>
        <w:t>1.24</w:t>
      </w:r>
      <w:r>
        <w:rPr>
          <w:rFonts w:ascii="Times New Roman" w:eastAsia="宋体" w:hAnsi="Times New Roman" w:hint="eastAsia"/>
          <w:sz w:val="24"/>
          <w:szCs w:val="24"/>
        </w:rPr>
        <w:t>，即等效范围的上界，下界则为</w:t>
      </w:r>
      <w:r>
        <w:rPr>
          <w:rFonts w:ascii="Times New Roman" w:eastAsia="宋体" w:hAnsi="Times New Roman"/>
          <w:sz w:val="24"/>
          <w:szCs w:val="24"/>
        </w:rPr>
        <w:t>0.81 (1/1.24=0.81)</w:t>
      </w:r>
      <w:r>
        <w:rPr>
          <w:rFonts w:ascii="Times New Roman" w:eastAsia="宋体" w:hAnsi="Times New Roman" w:hint="eastAsia"/>
          <w:sz w:val="24"/>
          <w:szCs w:val="24"/>
        </w:rPr>
        <w:t>。在针对曲妥珠单抗生物类似药临床评价技术要求会议讨论中，建议界值按</w:t>
      </w:r>
      <w:r>
        <w:rPr>
          <w:rFonts w:ascii="Times New Roman" w:eastAsia="宋体" w:hAnsi="Times New Roman"/>
          <w:sz w:val="24"/>
          <w:szCs w:val="24"/>
        </w:rPr>
        <w:t>RR</w:t>
      </w:r>
      <w:r>
        <w:rPr>
          <w:rFonts w:ascii="Times New Roman" w:eastAsia="宋体" w:hAnsi="Times New Roman" w:hint="eastAsia"/>
          <w:sz w:val="24"/>
          <w:szCs w:val="24"/>
        </w:rPr>
        <w:t>设定为（</w:t>
      </w:r>
      <w:r>
        <w:rPr>
          <w:rFonts w:ascii="Times New Roman" w:eastAsia="宋体" w:hAnsi="Times New Roman"/>
          <w:sz w:val="24"/>
          <w:szCs w:val="24"/>
        </w:rPr>
        <w:t>0.8</w:t>
      </w:r>
      <w:r>
        <w:rPr>
          <w:rFonts w:ascii="Times New Roman" w:eastAsia="宋体" w:hAnsi="Times New Roman" w:hint="eastAsia"/>
          <w:sz w:val="24"/>
          <w:szCs w:val="24"/>
        </w:rPr>
        <w:t>，</w:t>
      </w:r>
      <w:r>
        <w:rPr>
          <w:rFonts w:ascii="Times New Roman" w:eastAsia="宋体" w:hAnsi="Times New Roman"/>
          <w:sz w:val="24"/>
          <w:szCs w:val="24"/>
        </w:rPr>
        <w:t>1.25</w:t>
      </w:r>
      <w:r>
        <w:rPr>
          <w:rFonts w:ascii="Times New Roman" w:eastAsia="宋体" w:hAnsi="Times New Roman" w:hint="eastAsia"/>
          <w:sz w:val="24"/>
          <w:szCs w:val="24"/>
        </w:rPr>
        <w:t>）。如果前期</w:t>
      </w:r>
      <w:r>
        <w:rPr>
          <w:rFonts w:ascii="Times New Roman" w:eastAsia="宋体" w:hAnsi="Times New Roman"/>
          <w:sz w:val="24"/>
          <w:szCs w:val="24"/>
        </w:rPr>
        <w:t>PK</w:t>
      </w:r>
      <w:r>
        <w:rPr>
          <w:rFonts w:ascii="Times New Roman" w:eastAsia="宋体" w:hAnsi="Times New Roman" w:hint="eastAsia"/>
          <w:sz w:val="24"/>
          <w:szCs w:val="24"/>
        </w:rPr>
        <w:t>比对研究数据表明生物类似药与参照药具有一致性，那么采用实际</w:t>
      </w:r>
      <w:r>
        <w:rPr>
          <w:rFonts w:ascii="Times New Roman" w:eastAsia="宋体" w:hAnsi="Times New Roman"/>
          <w:sz w:val="24"/>
          <w:szCs w:val="24"/>
        </w:rPr>
        <w:t>RR</w:t>
      </w:r>
      <w:r>
        <w:rPr>
          <w:rFonts w:ascii="Times New Roman" w:eastAsia="宋体" w:hAnsi="Times New Roman" w:hint="eastAsia"/>
          <w:sz w:val="24"/>
          <w:szCs w:val="24"/>
        </w:rPr>
        <w:t>的</w:t>
      </w:r>
      <w:r>
        <w:rPr>
          <w:rFonts w:ascii="Times New Roman" w:eastAsia="宋体" w:hAnsi="Times New Roman"/>
          <w:sz w:val="24"/>
          <w:szCs w:val="24"/>
        </w:rPr>
        <w:t>90%</w:t>
      </w:r>
      <w:r>
        <w:rPr>
          <w:rFonts w:ascii="Times New Roman" w:eastAsia="宋体" w:hAnsi="Times New Roman" w:hint="eastAsia"/>
          <w:sz w:val="24"/>
          <w:szCs w:val="24"/>
        </w:rPr>
        <w:t>以上置信区间进行等效性判断是可以接受的，把握度通常不低于</w:t>
      </w:r>
      <w:r>
        <w:rPr>
          <w:rFonts w:ascii="Times New Roman" w:eastAsia="宋体" w:hAnsi="Times New Roman"/>
          <w:sz w:val="24"/>
          <w:szCs w:val="24"/>
        </w:rPr>
        <w:t>80%</w:t>
      </w:r>
      <w:r>
        <w:rPr>
          <w:rFonts w:ascii="Times New Roman" w:eastAsia="宋体" w:hAnsi="Times New Roman" w:hint="eastAsia"/>
          <w:sz w:val="24"/>
          <w:szCs w:val="24"/>
        </w:rPr>
        <w:t>，基于上述参数合理估算样本量。如按全球开发策略，则需要考虑满足不同监管部门的要求。</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b/>
          <w:sz w:val="24"/>
          <w:szCs w:val="24"/>
        </w:rPr>
        <w:t xml:space="preserve">3. </w:t>
      </w:r>
      <w:r>
        <w:rPr>
          <w:rFonts w:ascii="Times New Roman" w:eastAsia="宋体" w:hAnsi="Times New Roman" w:hint="eastAsia"/>
          <w:b/>
          <w:sz w:val="24"/>
          <w:szCs w:val="24"/>
        </w:rPr>
        <w:t>安全性和免疫原性研究</w:t>
      </w:r>
    </w:p>
    <w:p w:rsidR="00A679F1" w:rsidRDefault="00A679F1" w:rsidP="00A679F1">
      <w:pPr>
        <w:pStyle w:val="a7"/>
        <w:autoSpaceDE/>
        <w:adjustRightInd/>
        <w:spacing w:line="360" w:lineRule="auto"/>
        <w:ind w:firstLine="480"/>
        <w:jc w:val="both"/>
        <w:rPr>
          <w:sz w:val="24"/>
          <w:szCs w:val="24"/>
        </w:rPr>
      </w:pPr>
      <w:r>
        <w:rPr>
          <w:rFonts w:hint="eastAsia"/>
          <w:sz w:val="24"/>
          <w:szCs w:val="24"/>
        </w:rPr>
        <w:t>免疫原性研究是生物大分子药物特有且重要的研究项目，应贯穿在整个研发过程中。候选生物类似药免疫原性的研究可以与临床有效性比对研究在同一个临床试验中一并考察，免疫原性主要通过检测抗药抗体（</w:t>
      </w:r>
      <w:r>
        <w:rPr>
          <w:sz w:val="24"/>
          <w:szCs w:val="24"/>
        </w:rPr>
        <w:t>anti-drug antibody</w:t>
      </w:r>
      <w:r>
        <w:rPr>
          <w:rFonts w:hint="eastAsia"/>
          <w:sz w:val="24"/>
          <w:szCs w:val="24"/>
        </w:rPr>
        <w:t>，</w:t>
      </w:r>
      <w:r>
        <w:rPr>
          <w:sz w:val="24"/>
          <w:szCs w:val="24"/>
        </w:rPr>
        <w:t>ADA</w:t>
      </w:r>
      <w:r>
        <w:rPr>
          <w:rFonts w:hint="eastAsia"/>
          <w:sz w:val="24"/>
          <w:szCs w:val="24"/>
        </w:rPr>
        <w:t>）和中和抗体</w:t>
      </w:r>
      <w:r>
        <w:rPr>
          <w:sz w:val="24"/>
          <w:szCs w:val="24"/>
        </w:rPr>
        <w:t>(neutralization antibody</w:t>
      </w:r>
      <w:r>
        <w:rPr>
          <w:rFonts w:hint="eastAsia"/>
          <w:sz w:val="24"/>
          <w:szCs w:val="24"/>
        </w:rPr>
        <w:t>，</w:t>
      </w:r>
      <w:r>
        <w:rPr>
          <w:sz w:val="24"/>
          <w:szCs w:val="24"/>
        </w:rPr>
        <w:t>Nab)</w:t>
      </w:r>
      <w:r>
        <w:rPr>
          <w:rFonts w:hint="eastAsia"/>
          <w:sz w:val="24"/>
          <w:szCs w:val="24"/>
        </w:rPr>
        <w:t>的发生率来评价。</w:t>
      </w:r>
    </w:p>
    <w:p w:rsidR="00A679F1" w:rsidRDefault="00A679F1" w:rsidP="00A679F1">
      <w:pPr>
        <w:pStyle w:val="a7"/>
        <w:autoSpaceDE/>
        <w:adjustRightInd/>
        <w:spacing w:line="360" w:lineRule="auto"/>
        <w:ind w:firstLine="480"/>
        <w:jc w:val="both"/>
        <w:rPr>
          <w:b/>
          <w:bCs/>
          <w:sz w:val="24"/>
          <w:szCs w:val="24"/>
        </w:rPr>
      </w:pPr>
      <w:r>
        <w:rPr>
          <w:rFonts w:hint="eastAsia"/>
          <w:sz w:val="24"/>
          <w:szCs w:val="24"/>
        </w:rPr>
        <w:t>目前可获得的赫赛汀免疫原性的信息较有限：在早期乳腺癌新辅助治疗临床试验中，静脉注射组有</w:t>
      </w:r>
      <w:r>
        <w:rPr>
          <w:sz w:val="24"/>
          <w:szCs w:val="24"/>
        </w:rPr>
        <w:t>8.1%</w:t>
      </w:r>
      <w:r>
        <w:rPr>
          <w:rFonts w:hint="eastAsia"/>
          <w:sz w:val="24"/>
          <w:szCs w:val="24"/>
        </w:rPr>
        <w:t>（</w:t>
      </w:r>
      <w:r>
        <w:rPr>
          <w:sz w:val="24"/>
          <w:szCs w:val="24"/>
        </w:rPr>
        <w:t>24/296</w:t>
      </w:r>
      <w:r>
        <w:rPr>
          <w:rFonts w:hint="eastAsia"/>
          <w:sz w:val="24"/>
          <w:szCs w:val="24"/>
        </w:rPr>
        <w:t>）的患者产生了抗曲妥珠单抗的抗体（</w:t>
      </w:r>
      <w:r w:rsidR="00C17F1C">
        <w:rPr>
          <w:rFonts w:hint="eastAsia"/>
          <w:sz w:val="24"/>
          <w:szCs w:val="24"/>
        </w:rPr>
        <w:t>无论</w:t>
      </w:r>
      <w:r>
        <w:rPr>
          <w:rFonts w:hint="eastAsia"/>
          <w:sz w:val="24"/>
          <w:szCs w:val="24"/>
        </w:rPr>
        <w:t>基线时是否存在抗体），其中</w:t>
      </w:r>
      <w:r>
        <w:rPr>
          <w:sz w:val="24"/>
          <w:szCs w:val="24"/>
        </w:rPr>
        <w:t>2</w:t>
      </w:r>
      <w:r>
        <w:rPr>
          <w:rFonts w:hint="eastAsia"/>
          <w:sz w:val="24"/>
          <w:szCs w:val="24"/>
        </w:rPr>
        <w:t>例的基线后样品中检测到抗曲妥珠单抗的中和抗体。这些抗体的临床相关性尚不清楚，但是，静脉注射曲妥珠单抗组的药代动力学、疗效或由治疗相关的不良反应评估的安全性没有显示受到这些抗体的不良影响。结合</w:t>
      </w:r>
      <w:r>
        <w:rPr>
          <w:sz w:val="24"/>
          <w:szCs w:val="24"/>
        </w:rPr>
        <w:t>ADA</w:t>
      </w:r>
      <w:r>
        <w:rPr>
          <w:rFonts w:hint="eastAsia"/>
          <w:sz w:val="24"/>
          <w:szCs w:val="24"/>
        </w:rPr>
        <w:t>迟发产生的一般经验规律，建议曲妥珠单抗临床免疫原性比对研究应有足够长时间间隔的数据以证实候选药与参照药在</w:t>
      </w:r>
      <w:r>
        <w:rPr>
          <w:sz w:val="24"/>
          <w:szCs w:val="24"/>
        </w:rPr>
        <w:t>ADA</w:t>
      </w:r>
      <w:r>
        <w:rPr>
          <w:rFonts w:hint="eastAsia"/>
          <w:sz w:val="24"/>
          <w:szCs w:val="24"/>
        </w:rPr>
        <w:t>阳性率和持续时间等方面均具有相似性，通常应至少包括末次给药后一个月及结束治疗访视等采样时间点。建议对出现异常情况的病例根据需要适时增加检测点，必要时应考察</w:t>
      </w:r>
      <w:r>
        <w:rPr>
          <w:sz w:val="24"/>
          <w:szCs w:val="24"/>
        </w:rPr>
        <w:t>ADA</w:t>
      </w:r>
      <w:r>
        <w:rPr>
          <w:rFonts w:hint="eastAsia"/>
          <w:sz w:val="24"/>
          <w:szCs w:val="24"/>
        </w:rPr>
        <w:t>滴度和中和活性等。候选生物类似药的临床研究过程相对简化、观察时间较短，产品的免疫原性并不一定在有限的研究过程中被充分检测到，因此，建议申办方制定详细的上市后免疫原性评价的计划，包括建议的观察时限、需收集的检测指标等。</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安全性比对研究同样在</w:t>
      </w:r>
      <w:r>
        <w:rPr>
          <w:rFonts w:ascii="Times New Roman" w:eastAsia="宋体" w:hAnsi="Times New Roman"/>
          <w:sz w:val="24"/>
          <w:szCs w:val="24"/>
        </w:rPr>
        <w:t>PK</w:t>
      </w:r>
      <w:r>
        <w:rPr>
          <w:rFonts w:ascii="Times New Roman" w:eastAsia="宋体" w:hAnsi="Times New Roman" w:hint="eastAsia"/>
          <w:sz w:val="24"/>
          <w:szCs w:val="24"/>
        </w:rPr>
        <w:t>和</w:t>
      </w:r>
      <w:r>
        <w:rPr>
          <w:rFonts w:ascii="Times New Roman" w:eastAsia="宋体" w:hAnsi="Times New Roman"/>
          <w:sz w:val="24"/>
          <w:szCs w:val="24"/>
        </w:rPr>
        <w:t>/</w:t>
      </w:r>
      <w:r>
        <w:rPr>
          <w:rFonts w:ascii="Times New Roman" w:eastAsia="宋体" w:hAnsi="Times New Roman" w:hint="eastAsia"/>
          <w:sz w:val="24"/>
          <w:szCs w:val="24"/>
        </w:rPr>
        <w:t>或有效性比对试验中进行，对不良反应发生的类型、严重程度和频率等进行观察比较，尤其是重点关注的不良反应，如心脏毒性。建议提供足够长观察周期的安全性信息，以充分暴露潜在的风险。</w:t>
      </w: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hint="eastAsia"/>
          <w:b/>
          <w:sz w:val="24"/>
          <w:szCs w:val="24"/>
        </w:rPr>
        <w:t>四、小结</w:t>
      </w:r>
    </w:p>
    <w:p w:rsidR="00A679F1" w:rsidRDefault="00A679F1" w:rsidP="00A679F1">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曲妥珠单抗生物类似药临床比对研究遵循生物类似药临床相似性评价的一般原则，即应当在有合理科学依据的前提下尽可能的简化，以能证实候选药与原研产品的相似性为目标，同时应兼顾其产品特异性，有针对性的进行临床比对研究设计。鼓励企业在研发过程中尽早就生物类似药产品的开发策略和研究设计与药品监管部门开展沟通交流，以在关键性问题上达成共识，提高研发效率。</w:t>
      </w:r>
    </w:p>
    <w:p w:rsidR="00A679F1" w:rsidRDefault="00A679F1" w:rsidP="00A679F1">
      <w:pPr>
        <w:spacing w:line="360" w:lineRule="auto"/>
        <w:ind w:firstLineChars="200" w:firstLine="480"/>
        <w:rPr>
          <w:rFonts w:ascii="Times New Roman" w:eastAsia="宋体" w:hAnsi="Times New Roman"/>
          <w:sz w:val="24"/>
          <w:szCs w:val="24"/>
        </w:rPr>
      </w:pPr>
    </w:p>
    <w:p w:rsidR="00A679F1" w:rsidRDefault="00A679F1" w:rsidP="00A679F1">
      <w:pPr>
        <w:spacing w:line="360" w:lineRule="auto"/>
        <w:ind w:firstLineChars="200" w:firstLine="480"/>
        <w:rPr>
          <w:rFonts w:ascii="Times New Roman" w:eastAsia="宋体" w:hAnsi="Times New Roman"/>
          <w:sz w:val="24"/>
          <w:szCs w:val="24"/>
        </w:rPr>
      </w:pPr>
    </w:p>
    <w:p w:rsidR="00A679F1" w:rsidRDefault="00A679F1" w:rsidP="00A679F1">
      <w:pPr>
        <w:spacing w:line="360" w:lineRule="auto"/>
        <w:rPr>
          <w:rFonts w:ascii="Times New Roman" w:eastAsia="宋体" w:hAnsi="Times New Roman"/>
          <w:b/>
          <w:sz w:val="24"/>
          <w:szCs w:val="24"/>
        </w:rPr>
      </w:pPr>
      <w:r>
        <w:rPr>
          <w:rFonts w:ascii="Times New Roman" w:eastAsia="宋体" w:hAnsi="Times New Roman" w:hint="eastAsia"/>
          <w:b/>
          <w:sz w:val="24"/>
          <w:szCs w:val="24"/>
        </w:rPr>
        <w:t>参考文献：</w:t>
      </w:r>
    </w:p>
    <w:p w:rsidR="00A679F1" w:rsidRDefault="00A679F1" w:rsidP="00A679F1">
      <w:pPr>
        <w:pStyle w:val="a7"/>
        <w:numPr>
          <w:ilvl w:val="0"/>
          <w:numId w:val="1"/>
        </w:numPr>
        <w:spacing w:line="360" w:lineRule="auto"/>
        <w:ind w:firstLineChars="0"/>
        <w:rPr>
          <w:sz w:val="24"/>
          <w:szCs w:val="24"/>
        </w:rPr>
      </w:pPr>
      <w:r>
        <w:rPr>
          <w:rFonts w:hint="eastAsia"/>
          <w:sz w:val="24"/>
          <w:szCs w:val="24"/>
        </w:rPr>
        <w:t>国家药品监督管理局</w:t>
      </w:r>
      <w:r>
        <w:rPr>
          <w:sz w:val="24"/>
          <w:szCs w:val="24"/>
        </w:rPr>
        <w:t>.</w:t>
      </w:r>
      <w:r>
        <w:rPr>
          <w:rFonts w:hint="eastAsia"/>
          <w:sz w:val="24"/>
          <w:szCs w:val="24"/>
        </w:rPr>
        <w:t>注射用曲妥珠单抗说明书</w:t>
      </w:r>
      <w:r>
        <w:rPr>
          <w:sz w:val="24"/>
          <w:szCs w:val="24"/>
        </w:rPr>
        <w:t>,2019.</w:t>
      </w:r>
      <w:r>
        <w:rPr>
          <w:rFonts w:hint="eastAsia"/>
          <w:sz w:val="24"/>
          <w:szCs w:val="24"/>
        </w:rPr>
        <w:t>北京</w:t>
      </w:r>
      <w:r>
        <w:rPr>
          <w:sz w:val="24"/>
          <w:szCs w:val="24"/>
        </w:rPr>
        <w:t>:</w:t>
      </w:r>
      <w:r>
        <w:rPr>
          <w:rFonts w:hint="eastAsia"/>
          <w:sz w:val="24"/>
          <w:szCs w:val="24"/>
        </w:rPr>
        <w:t>国家食品药品监督管理总局</w:t>
      </w:r>
      <w:r>
        <w:rPr>
          <w:sz w:val="24"/>
          <w:szCs w:val="24"/>
        </w:rPr>
        <w:t>.</w:t>
      </w:r>
    </w:p>
    <w:p w:rsidR="00A679F1" w:rsidRDefault="00A679F1" w:rsidP="00A679F1">
      <w:pPr>
        <w:pStyle w:val="a7"/>
        <w:numPr>
          <w:ilvl w:val="0"/>
          <w:numId w:val="1"/>
        </w:numPr>
        <w:spacing w:line="360" w:lineRule="auto"/>
        <w:ind w:firstLineChars="0"/>
        <w:jc w:val="both"/>
        <w:rPr>
          <w:sz w:val="24"/>
          <w:szCs w:val="24"/>
        </w:rPr>
      </w:pPr>
      <w:r>
        <w:rPr>
          <w:rFonts w:hint="eastAsia"/>
          <w:sz w:val="24"/>
          <w:szCs w:val="24"/>
        </w:rPr>
        <w:t>国家药品监督管理局</w:t>
      </w:r>
      <w:r>
        <w:rPr>
          <w:sz w:val="24"/>
          <w:szCs w:val="24"/>
        </w:rPr>
        <w:t>.</w:t>
      </w:r>
      <w:r>
        <w:rPr>
          <w:rFonts w:hint="eastAsia"/>
          <w:sz w:val="24"/>
          <w:szCs w:val="24"/>
        </w:rPr>
        <w:t>生物类似药研发与评价技术指导原则（试行）</w:t>
      </w:r>
      <w:r>
        <w:rPr>
          <w:sz w:val="24"/>
          <w:szCs w:val="24"/>
        </w:rPr>
        <w:t xml:space="preserve">. </w:t>
      </w:r>
      <w:r>
        <w:rPr>
          <w:rFonts w:hint="eastAsia"/>
          <w:sz w:val="24"/>
          <w:szCs w:val="24"/>
        </w:rPr>
        <w:t>北京</w:t>
      </w:r>
      <w:r>
        <w:rPr>
          <w:sz w:val="24"/>
          <w:szCs w:val="24"/>
        </w:rPr>
        <w:t>:</w:t>
      </w:r>
      <w:r>
        <w:rPr>
          <w:rFonts w:hint="eastAsia"/>
          <w:sz w:val="24"/>
          <w:szCs w:val="24"/>
        </w:rPr>
        <w:t>国家食品药品监督管理总局</w:t>
      </w:r>
      <w:r>
        <w:rPr>
          <w:sz w:val="24"/>
          <w:szCs w:val="24"/>
        </w:rPr>
        <w:t>.</w:t>
      </w:r>
      <w:r>
        <w:rPr>
          <w:color w:val="000000" w:themeColor="text1"/>
          <w:sz w:val="24"/>
          <w:szCs w:val="24"/>
        </w:rPr>
        <w:t xml:space="preserve">. </w:t>
      </w:r>
      <w:r>
        <w:rPr>
          <w:sz w:val="24"/>
          <w:szCs w:val="24"/>
        </w:rPr>
        <w:t>http://www.nmpa.gov.cn/WS04/CL2138/300003.html.</w:t>
      </w:r>
    </w:p>
    <w:p w:rsidR="00A679F1" w:rsidRDefault="00A679F1" w:rsidP="00A679F1">
      <w:pPr>
        <w:pStyle w:val="a7"/>
        <w:numPr>
          <w:ilvl w:val="0"/>
          <w:numId w:val="1"/>
        </w:numPr>
        <w:spacing w:line="360" w:lineRule="auto"/>
        <w:ind w:firstLineChars="0"/>
        <w:rPr>
          <w:sz w:val="24"/>
          <w:szCs w:val="24"/>
        </w:rPr>
      </w:pPr>
      <w:r>
        <w:rPr>
          <w:sz w:val="24"/>
          <w:szCs w:val="24"/>
        </w:rPr>
        <w:t>European Medicines Agency. Guideline on similar biological medicinal products containing monoclonal antibodies – non-clinical and clinical issues.. https://www.ema.europa.eu/en/documents/scientific-guideline/guideline-similar-biological-medicinal-products-containing-biotechnology-derived-proteins-active_en-2.pdf.</w:t>
      </w:r>
    </w:p>
    <w:p w:rsidR="00A679F1" w:rsidRDefault="00A679F1" w:rsidP="00A679F1">
      <w:pPr>
        <w:pStyle w:val="a7"/>
        <w:numPr>
          <w:ilvl w:val="0"/>
          <w:numId w:val="1"/>
        </w:numPr>
        <w:spacing w:line="360" w:lineRule="auto"/>
        <w:ind w:firstLineChars="0"/>
        <w:jc w:val="both"/>
        <w:rPr>
          <w:sz w:val="24"/>
          <w:szCs w:val="24"/>
        </w:rPr>
      </w:pPr>
      <w:r>
        <w:rPr>
          <w:rFonts w:hint="eastAsia"/>
          <w:sz w:val="24"/>
          <w:szCs w:val="24"/>
        </w:rPr>
        <w:t>国家药品监督管理局</w:t>
      </w:r>
      <w:r>
        <w:rPr>
          <w:sz w:val="24"/>
          <w:szCs w:val="24"/>
        </w:rPr>
        <w:t>.</w:t>
      </w:r>
      <w:r>
        <w:rPr>
          <w:rFonts w:hint="eastAsia"/>
          <w:sz w:val="24"/>
          <w:szCs w:val="24"/>
        </w:rPr>
        <w:t>以药动学参数为终点评价指标的化学药物仿制药人体生物等效性研究技术指导原则</w:t>
      </w:r>
      <w:r>
        <w:rPr>
          <w:sz w:val="24"/>
          <w:szCs w:val="24"/>
        </w:rPr>
        <w:t xml:space="preserve">. </w:t>
      </w:r>
      <w:r>
        <w:rPr>
          <w:rFonts w:hint="eastAsia"/>
          <w:sz w:val="24"/>
          <w:szCs w:val="24"/>
        </w:rPr>
        <w:t>北京</w:t>
      </w:r>
      <w:r>
        <w:rPr>
          <w:sz w:val="24"/>
          <w:szCs w:val="24"/>
        </w:rPr>
        <w:t>:</w:t>
      </w:r>
      <w:r>
        <w:rPr>
          <w:rFonts w:hint="eastAsia"/>
          <w:sz w:val="24"/>
          <w:szCs w:val="24"/>
        </w:rPr>
        <w:t>国家药品监督管理局</w:t>
      </w:r>
      <w:r>
        <w:rPr>
          <w:sz w:val="24"/>
          <w:szCs w:val="24"/>
        </w:rPr>
        <w:t>. http://www.nmpa.gov.cn/WS04/CL2042.</w:t>
      </w:r>
    </w:p>
    <w:p w:rsidR="00A679F1" w:rsidRDefault="00A679F1" w:rsidP="00A679F1">
      <w:pPr>
        <w:pStyle w:val="a7"/>
        <w:numPr>
          <w:ilvl w:val="0"/>
          <w:numId w:val="1"/>
        </w:numPr>
        <w:spacing w:line="360" w:lineRule="auto"/>
        <w:ind w:firstLineChars="0"/>
        <w:rPr>
          <w:sz w:val="24"/>
          <w:szCs w:val="24"/>
        </w:rPr>
      </w:pPr>
      <w:r>
        <w:rPr>
          <w:sz w:val="24"/>
          <w:szCs w:val="24"/>
        </w:rPr>
        <w:t>U.S. Food and Drug Administration. Guidance for Industry: Clinical Pharmacology Data to Support a Demonstration of Biosimilarity to a Reference Product. https://www.fda.gov/downloads/drugs/guidancecomplianceregulatoryinformation/guidances/ucm397017.pdf</w:t>
      </w:r>
    </w:p>
    <w:p w:rsidR="00A679F1" w:rsidRDefault="00A679F1" w:rsidP="00A679F1">
      <w:pPr>
        <w:pStyle w:val="a7"/>
        <w:numPr>
          <w:ilvl w:val="0"/>
          <w:numId w:val="1"/>
        </w:numPr>
        <w:spacing w:line="360" w:lineRule="auto"/>
        <w:ind w:firstLineChars="0"/>
        <w:jc w:val="both"/>
        <w:rPr>
          <w:sz w:val="24"/>
          <w:szCs w:val="24"/>
        </w:rPr>
      </w:pPr>
      <w:r>
        <w:rPr>
          <w:sz w:val="24"/>
          <w:szCs w:val="24"/>
        </w:rPr>
        <w:t>JACKISCH C, SCAPPATICCI FA, HEINZMANN D, et al. Neoadjuvant breast cancer treatment as a sensitive setting for trastuzumab biosimilar development and extrapolation[J]. Future Oncol. 2015, 11:61-71.</w:t>
      </w:r>
    </w:p>
    <w:p w:rsidR="00A679F1" w:rsidRDefault="00A679F1" w:rsidP="00A679F1">
      <w:pPr>
        <w:pStyle w:val="a7"/>
        <w:numPr>
          <w:ilvl w:val="0"/>
          <w:numId w:val="1"/>
        </w:numPr>
        <w:spacing w:line="360" w:lineRule="auto"/>
        <w:ind w:firstLineChars="0"/>
        <w:jc w:val="both"/>
        <w:rPr>
          <w:sz w:val="24"/>
          <w:szCs w:val="24"/>
        </w:rPr>
      </w:pPr>
      <w:r>
        <w:rPr>
          <w:sz w:val="24"/>
          <w:szCs w:val="24"/>
        </w:rPr>
        <w:t>GASPARINI G, GION M, MARIANI L, et al. Randomized phase trial of weekly paclitaxel alone versus trastuzumab plus weekly paclitaxel as first-line therapy of patients with HER-2 positive advanced breast cancer[J]. Breast Cancer Res Treat. 2007, 101(3):355-365.</w:t>
      </w:r>
    </w:p>
    <w:p w:rsidR="00A679F1" w:rsidRDefault="00A679F1" w:rsidP="00A679F1">
      <w:pPr>
        <w:pStyle w:val="a7"/>
        <w:numPr>
          <w:ilvl w:val="0"/>
          <w:numId w:val="1"/>
        </w:numPr>
        <w:spacing w:line="360" w:lineRule="auto"/>
        <w:ind w:firstLineChars="0"/>
        <w:jc w:val="both"/>
        <w:rPr>
          <w:sz w:val="24"/>
          <w:szCs w:val="24"/>
        </w:rPr>
      </w:pPr>
      <w:r>
        <w:rPr>
          <w:sz w:val="24"/>
          <w:szCs w:val="24"/>
        </w:rPr>
        <w:t>SLAMON DJ, LEYLAND-JONES B, SHAK S, et al. Use of chemotherapy plus a monoclonal antibody against HER2 for metastatic breast cancer that overexpresses HER2[J]. N Engl J Med. 2001, 344(11):783-792.</w:t>
      </w:r>
    </w:p>
    <w:p w:rsidR="00A679F1" w:rsidRDefault="00A679F1" w:rsidP="00A679F1">
      <w:pPr>
        <w:pStyle w:val="a7"/>
        <w:numPr>
          <w:ilvl w:val="0"/>
          <w:numId w:val="1"/>
        </w:numPr>
        <w:spacing w:line="360" w:lineRule="auto"/>
        <w:ind w:firstLineChars="0"/>
        <w:jc w:val="both"/>
        <w:rPr>
          <w:sz w:val="24"/>
          <w:szCs w:val="24"/>
        </w:rPr>
      </w:pPr>
      <w:r>
        <w:rPr>
          <w:sz w:val="24"/>
          <w:szCs w:val="24"/>
        </w:rPr>
        <w:t>MARTY M, COGNETTI F, MARANINCH D, et al. Randomized phase II trial of the efficacy and safety of trastuzumab combined with docetaxel in patients with human epidermal growth factor receptor 2-positive metastatic breast cancer administered as first-line treatment: the M77001 study group[J]. J Clin Oncol. 2005,23(19):4265-4274.</w:t>
      </w:r>
    </w:p>
    <w:p w:rsidR="00A679F1" w:rsidRDefault="00A679F1" w:rsidP="00A679F1">
      <w:pPr>
        <w:pStyle w:val="a7"/>
        <w:numPr>
          <w:ilvl w:val="0"/>
          <w:numId w:val="1"/>
        </w:numPr>
        <w:spacing w:line="360" w:lineRule="auto"/>
        <w:ind w:firstLineChars="0"/>
        <w:jc w:val="both"/>
        <w:rPr>
          <w:sz w:val="24"/>
          <w:szCs w:val="24"/>
        </w:rPr>
      </w:pPr>
      <w:r>
        <w:rPr>
          <w:sz w:val="24"/>
          <w:szCs w:val="24"/>
        </w:rPr>
        <w:t>HUANG D</w:t>
      </w:r>
      <w:r>
        <w:rPr>
          <w:rFonts w:hint="eastAsia"/>
          <w:sz w:val="24"/>
          <w:szCs w:val="24"/>
        </w:rPr>
        <w:t>，</w:t>
      </w:r>
      <w:r>
        <w:rPr>
          <w:sz w:val="24"/>
          <w:szCs w:val="24"/>
        </w:rPr>
        <w:t>LU N</w:t>
      </w:r>
      <w:r>
        <w:rPr>
          <w:rFonts w:hint="eastAsia"/>
          <w:sz w:val="24"/>
          <w:szCs w:val="24"/>
        </w:rPr>
        <w:t>，</w:t>
      </w:r>
      <w:r>
        <w:rPr>
          <w:sz w:val="24"/>
          <w:szCs w:val="24"/>
        </w:rPr>
        <w:t>FAN Q</w:t>
      </w:r>
      <w:r>
        <w:rPr>
          <w:rFonts w:hint="eastAsia"/>
          <w:sz w:val="24"/>
          <w:szCs w:val="24"/>
        </w:rPr>
        <w:t>，</w:t>
      </w:r>
      <w:r>
        <w:rPr>
          <w:sz w:val="24"/>
          <w:szCs w:val="24"/>
        </w:rPr>
        <w:t>et al</w:t>
      </w:r>
      <w:r>
        <w:rPr>
          <w:rFonts w:hint="eastAsia"/>
          <w:sz w:val="24"/>
          <w:szCs w:val="24"/>
        </w:rPr>
        <w:t>．</w:t>
      </w:r>
      <w:r>
        <w:rPr>
          <w:sz w:val="24"/>
          <w:szCs w:val="24"/>
        </w:rPr>
        <w:t>HER2 status in gastric and gastroesophageal junction cancer assessed by local and central laboratories: Chinese results of the HER-EAGLE study[J]. PLoS One. 2013, 8(11):e80290.</w:t>
      </w:r>
    </w:p>
    <w:p w:rsidR="00CF2B4E" w:rsidRDefault="00A679F1" w:rsidP="00A679F1">
      <w:pPr>
        <w:pStyle w:val="a7"/>
        <w:numPr>
          <w:ilvl w:val="0"/>
          <w:numId w:val="1"/>
        </w:numPr>
        <w:spacing w:line="360" w:lineRule="auto"/>
        <w:ind w:firstLineChars="0"/>
        <w:jc w:val="both"/>
        <w:rPr>
          <w:sz w:val="24"/>
          <w:szCs w:val="24"/>
        </w:rPr>
      </w:pPr>
      <w:r>
        <w:rPr>
          <w:sz w:val="24"/>
          <w:szCs w:val="24"/>
        </w:rPr>
        <w:t>SHENG WQ</w:t>
      </w:r>
      <w:r>
        <w:rPr>
          <w:rFonts w:hint="eastAsia"/>
          <w:sz w:val="24"/>
          <w:szCs w:val="24"/>
        </w:rPr>
        <w:t>，</w:t>
      </w:r>
      <w:r>
        <w:rPr>
          <w:sz w:val="24"/>
          <w:szCs w:val="24"/>
        </w:rPr>
        <w:t>HUANG D</w:t>
      </w:r>
      <w:r>
        <w:rPr>
          <w:rFonts w:hint="eastAsia"/>
          <w:sz w:val="24"/>
          <w:szCs w:val="24"/>
        </w:rPr>
        <w:t>，</w:t>
      </w:r>
      <w:r>
        <w:rPr>
          <w:sz w:val="24"/>
          <w:szCs w:val="24"/>
        </w:rPr>
        <w:t>YING JM</w:t>
      </w:r>
      <w:r>
        <w:rPr>
          <w:rFonts w:hint="eastAsia"/>
          <w:sz w:val="24"/>
          <w:szCs w:val="24"/>
        </w:rPr>
        <w:t>，</w:t>
      </w:r>
      <w:r>
        <w:rPr>
          <w:sz w:val="24"/>
          <w:szCs w:val="24"/>
        </w:rPr>
        <w:t>et al</w:t>
      </w:r>
      <w:r>
        <w:rPr>
          <w:rFonts w:hint="eastAsia"/>
          <w:sz w:val="24"/>
          <w:szCs w:val="24"/>
        </w:rPr>
        <w:t>．</w:t>
      </w:r>
      <w:r>
        <w:rPr>
          <w:sz w:val="24"/>
          <w:szCs w:val="24"/>
        </w:rPr>
        <w:t xml:space="preserve"> HER2 status in gastric cancers: a retrospective analysis from four Chinese representative clinical centers and assessment of its prognostic significance[J]</w:t>
      </w:r>
      <w:r>
        <w:rPr>
          <w:rFonts w:hint="eastAsia"/>
          <w:sz w:val="24"/>
          <w:szCs w:val="24"/>
        </w:rPr>
        <w:t>．</w:t>
      </w:r>
      <w:r>
        <w:rPr>
          <w:sz w:val="24"/>
          <w:szCs w:val="24"/>
        </w:rPr>
        <w:t>Ann Oncol</w:t>
      </w:r>
      <w:r>
        <w:rPr>
          <w:rFonts w:hint="eastAsia"/>
          <w:sz w:val="24"/>
          <w:szCs w:val="24"/>
        </w:rPr>
        <w:t>，</w:t>
      </w:r>
      <w:r>
        <w:rPr>
          <w:sz w:val="24"/>
          <w:szCs w:val="24"/>
        </w:rPr>
        <w:t>2013, 24( 9) : 2360-2364</w:t>
      </w:r>
      <w:r>
        <w:rPr>
          <w:rFonts w:hint="eastAsia"/>
          <w:sz w:val="24"/>
          <w:szCs w:val="24"/>
        </w:rPr>
        <w:t>．</w:t>
      </w:r>
    </w:p>
    <w:p w:rsidR="001337E0" w:rsidRPr="00CF2B4E" w:rsidRDefault="00A679F1" w:rsidP="00A679F1">
      <w:pPr>
        <w:pStyle w:val="a7"/>
        <w:numPr>
          <w:ilvl w:val="0"/>
          <w:numId w:val="1"/>
        </w:numPr>
        <w:spacing w:line="360" w:lineRule="auto"/>
        <w:ind w:firstLineChars="0"/>
        <w:jc w:val="both"/>
        <w:rPr>
          <w:sz w:val="24"/>
          <w:szCs w:val="24"/>
        </w:rPr>
      </w:pPr>
      <w:bookmarkStart w:id="0" w:name="_GoBack"/>
      <w:bookmarkEnd w:id="0"/>
      <w:r w:rsidRPr="00CF2B4E">
        <w:rPr>
          <w:rFonts w:hint="eastAsia"/>
          <w:sz w:val="24"/>
          <w:szCs w:val="24"/>
        </w:rPr>
        <w:t>RUGO HS, BARVE A, WALLER CF, et al. Effect of a proposed trastuzumab biosimilar compared with trastuzumab on overall response rate in patients with ERBB2(HER2)-positive metastatic breast cancer: A randomized clinical trial[J]. JAMA. 2017, 317(1):37-47.</w:t>
      </w:r>
    </w:p>
    <w:sectPr w:rsidR="001337E0" w:rsidRPr="00CF2B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5F" w:rsidRDefault="00765F5F" w:rsidP="00A679F1">
      <w:r>
        <w:separator/>
      </w:r>
    </w:p>
  </w:endnote>
  <w:endnote w:type="continuationSeparator" w:id="0">
    <w:p w:rsidR="00765F5F" w:rsidRDefault="00765F5F" w:rsidP="00A6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776425"/>
      <w:docPartObj>
        <w:docPartGallery w:val="Page Numbers (Bottom of Page)"/>
        <w:docPartUnique/>
      </w:docPartObj>
    </w:sdtPr>
    <w:sdtContent>
      <w:p w:rsidR="00C17F1C" w:rsidRDefault="00C17F1C">
        <w:pPr>
          <w:pStyle w:val="a5"/>
          <w:jc w:val="center"/>
        </w:pPr>
        <w:r>
          <w:fldChar w:fldCharType="begin"/>
        </w:r>
        <w:r>
          <w:instrText>PAGE   \* MERGEFORMAT</w:instrText>
        </w:r>
        <w:r>
          <w:fldChar w:fldCharType="separate"/>
        </w:r>
        <w:r w:rsidR="00765F5F" w:rsidRPr="00765F5F">
          <w:rPr>
            <w:noProof/>
            <w:lang w:val="zh-CN"/>
          </w:rPr>
          <w:t>1</w:t>
        </w:r>
        <w:r>
          <w:fldChar w:fldCharType="end"/>
        </w:r>
      </w:p>
    </w:sdtContent>
  </w:sdt>
  <w:p w:rsidR="00C17F1C" w:rsidRDefault="00C17F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5F" w:rsidRDefault="00765F5F" w:rsidP="00A679F1">
      <w:r>
        <w:separator/>
      </w:r>
    </w:p>
  </w:footnote>
  <w:footnote w:type="continuationSeparator" w:id="0">
    <w:p w:rsidR="00765F5F" w:rsidRDefault="00765F5F" w:rsidP="00A679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4C5D"/>
    <w:multiLevelType w:val="hybridMultilevel"/>
    <w:tmpl w:val="5B44A55E"/>
    <w:lvl w:ilvl="0" w:tplc="F5821D5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92"/>
    <w:rsid w:val="0000325B"/>
    <w:rsid w:val="000114C1"/>
    <w:rsid w:val="0001167E"/>
    <w:rsid w:val="00012609"/>
    <w:rsid w:val="00016CB9"/>
    <w:rsid w:val="0002032E"/>
    <w:rsid w:val="00023367"/>
    <w:rsid w:val="00025A17"/>
    <w:rsid w:val="00027830"/>
    <w:rsid w:val="000332F7"/>
    <w:rsid w:val="000355AE"/>
    <w:rsid w:val="00042DEF"/>
    <w:rsid w:val="00047B0C"/>
    <w:rsid w:val="00055708"/>
    <w:rsid w:val="00057E15"/>
    <w:rsid w:val="000603E4"/>
    <w:rsid w:val="000609B6"/>
    <w:rsid w:val="0006191F"/>
    <w:rsid w:val="000630CC"/>
    <w:rsid w:val="00070681"/>
    <w:rsid w:val="000720DA"/>
    <w:rsid w:val="0007568A"/>
    <w:rsid w:val="00082E4E"/>
    <w:rsid w:val="00083C5B"/>
    <w:rsid w:val="000904C1"/>
    <w:rsid w:val="0009117E"/>
    <w:rsid w:val="00091CB2"/>
    <w:rsid w:val="00092F34"/>
    <w:rsid w:val="00095280"/>
    <w:rsid w:val="0009695C"/>
    <w:rsid w:val="00096F6A"/>
    <w:rsid w:val="000A07F0"/>
    <w:rsid w:val="000A2450"/>
    <w:rsid w:val="000A73D7"/>
    <w:rsid w:val="000B4308"/>
    <w:rsid w:val="000B5408"/>
    <w:rsid w:val="000C0A05"/>
    <w:rsid w:val="000C2F01"/>
    <w:rsid w:val="000C3153"/>
    <w:rsid w:val="000C5E34"/>
    <w:rsid w:val="000C7907"/>
    <w:rsid w:val="000D0B19"/>
    <w:rsid w:val="000D27D9"/>
    <w:rsid w:val="000D2F78"/>
    <w:rsid w:val="000D4F8E"/>
    <w:rsid w:val="000E0B34"/>
    <w:rsid w:val="000E1F1C"/>
    <w:rsid w:val="000E3F44"/>
    <w:rsid w:val="000E4F74"/>
    <w:rsid w:val="000F457C"/>
    <w:rsid w:val="00103968"/>
    <w:rsid w:val="0010681A"/>
    <w:rsid w:val="00106C66"/>
    <w:rsid w:val="0011387C"/>
    <w:rsid w:val="0012070C"/>
    <w:rsid w:val="00122323"/>
    <w:rsid w:val="001229BF"/>
    <w:rsid w:val="00127445"/>
    <w:rsid w:val="00127D12"/>
    <w:rsid w:val="00130C80"/>
    <w:rsid w:val="00131C97"/>
    <w:rsid w:val="001337E0"/>
    <w:rsid w:val="00144E35"/>
    <w:rsid w:val="00146000"/>
    <w:rsid w:val="00150041"/>
    <w:rsid w:val="00150952"/>
    <w:rsid w:val="001516F0"/>
    <w:rsid w:val="00151D24"/>
    <w:rsid w:val="001522CB"/>
    <w:rsid w:val="00154B9C"/>
    <w:rsid w:val="00155A04"/>
    <w:rsid w:val="00165622"/>
    <w:rsid w:val="001719B5"/>
    <w:rsid w:val="00172D6F"/>
    <w:rsid w:val="0018648D"/>
    <w:rsid w:val="00191846"/>
    <w:rsid w:val="001B0A9F"/>
    <w:rsid w:val="001B5EBD"/>
    <w:rsid w:val="001C1F3C"/>
    <w:rsid w:val="001C25DB"/>
    <w:rsid w:val="001C3FC2"/>
    <w:rsid w:val="001C5484"/>
    <w:rsid w:val="001D3A2C"/>
    <w:rsid w:val="001F0A51"/>
    <w:rsid w:val="001F5304"/>
    <w:rsid w:val="001F5435"/>
    <w:rsid w:val="001F6E2B"/>
    <w:rsid w:val="00211B9E"/>
    <w:rsid w:val="002160AD"/>
    <w:rsid w:val="002220A1"/>
    <w:rsid w:val="00225572"/>
    <w:rsid w:val="00226A77"/>
    <w:rsid w:val="0023340C"/>
    <w:rsid w:val="00234497"/>
    <w:rsid w:val="00237AC6"/>
    <w:rsid w:val="0024194E"/>
    <w:rsid w:val="00252536"/>
    <w:rsid w:val="00256ED1"/>
    <w:rsid w:val="00266428"/>
    <w:rsid w:val="002665CB"/>
    <w:rsid w:val="00273795"/>
    <w:rsid w:val="00274A77"/>
    <w:rsid w:val="00276D69"/>
    <w:rsid w:val="002770F7"/>
    <w:rsid w:val="0028027D"/>
    <w:rsid w:val="002806C8"/>
    <w:rsid w:val="00282654"/>
    <w:rsid w:val="0028314C"/>
    <w:rsid w:val="00284C85"/>
    <w:rsid w:val="0028788D"/>
    <w:rsid w:val="00296B48"/>
    <w:rsid w:val="002A03AB"/>
    <w:rsid w:val="002A2571"/>
    <w:rsid w:val="002A5BFD"/>
    <w:rsid w:val="002A6620"/>
    <w:rsid w:val="002A68A5"/>
    <w:rsid w:val="002B0D3D"/>
    <w:rsid w:val="002B2F01"/>
    <w:rsid w:val="002B5CCE"/>
    <w:rsid w:val="002B718E"/>
    <w:rsid w:val="002C22F5"/>
    <w:rsid w:val="002C579C"/>
    <w:rsid w:val="002C63F0"/>
    <w:rsid w:val="002C6C72"/>
    <w:rsid w:val="002D296E"/>
    <w:rsid w:val="002D49C8"/>
    <w:rsid w:val="002E4898"/>
    <w:rsid w:val="002E5E64"/>
    <w:rsid w:val="002E63A4"/>
    <w:rsid w:val="002E655E"/>
    <w:rsid w:val="002F2856"/>
    <w:rsid w:val="002F36F3"/>
    <w:rsid w:val="003018AD"/>
    <w:rsid w:val="00305747"/>
    <w:rsid w:val="003070BE"/>
    <w:rsid w:val="00307C2B"/>
    <w:rsid w:val="0031023C"/>
    <w:rsid w:val="003110AB"/>
    <w:rsid w:val="00311633"/>
    <w:rsid w:val="00311682"/>
    <w:rsid w:val="003116A7"/>
    <w:rsid w:val="00313AA4"/>
    <w:rsid w:val="0031587C"/>
    <w:rsid w:val="003172E9"/>
    <w:rsid w:val="003175B3"/>
    <w:rsid w:val="00317DC3"/>
    <w:rsid w:val="00326215"/>
    <w:rsid w:val="003368B9"/>
    <w:rsid w:val="00341055"/>
    <w:rsid w:val="00346B7E"/>
    <w:rsid w:val="00351A6D"/>
    <w:rsid w:val="00355126"/>
    <w:rsid w:val="00355A5F"/>
    <w:rsid w:val="0036082B"/>
    <w:rsid w:val="00370F54"/>
    <w:rsid w:val="00370FCB"/>
    <w:rsid w:val="00371031"/>
    <w:rsid w:val="00372AA6"/>
    <w:rsid w:val="00373417"/>
    <w:rsid w:val="00376E8A"/>
    <w:rsid w:val="003804F7"/>
    <w:rsid w:val="00383839"/>
    <w:rsid w:val="00384748"/>
    <w:rsid w:val="00386D7D"/>
    <w:rsid w:val="00390B7B"/>
    <w:rsid w:val="00391B60"/>
    <w:rsid w:val="00395607"/>
    <w:rsid w:val="00396595"/>
    <w:rsid w:val="003A64DE"/>
    <w:rsid w:val="003A657B"/>
    <w:rsid w:val="003A78FB"/>
    <w:rsid w:val="003B035C"/>
    <w:rsid w:val="003B1A04"/>
    <w:rsid w:val="003B4BEE"/>
    <w:rsid w:val="003B6B55"/>
    <w:rsid w:val="003C00A6"/>
    <w:rsid w:val="003C2C77"/>
    <w:rsid w:val="003C2D6C"/>
    <w:rsid w:val="003C56E9"/>
    <w:rsid w:val="003C72AD"/>
    <w:rsid w:val="003D24BF"/>
    <w:rsid w:val="003E68E6"/>
    <w:rsid w:val="003F1C18"/>
    <w:rsid w:val="003F2700"/>
    <w:rsid w:val="003F5D22"/>
    <w:rsid w:val="00404764"/>
    <w:rsid w:val="00405D64"/>
    <w:rsid w:val="00416468"/>
    <w:rsid w:val="004238FF"/>
    <w:rsid w:val="004257F2"/>
    <w:rsid w:val="00425C86"/>
    <w:rsid w:val="00425F2A"/>
    <w:rsid w:val="004337BF"/>
    <w:rsid w:val="00434C66"/>
    <w:rsid w:val="00435393"/>
    <w:rsid w:val="00437C4F"/>
    <w:rsid w:val="00440103"/>
    <w:rsid w:val="004412F0"/>
    <w:rsid w:val="00445627"/>
    <w:rsid w:val="00455E7B"/>
    <w:rsid w:val="0045693E"/>
    <w:rsid w:val="00462B7C"/>
    <w:rsid w:val="00463B88"/>
    <w:rsid w:val="004659F2"/>
    <w:rsid w:val="00467EAB"/>
    <w:rsid w:val="0047052E"/>
    <w:rsid w:val="00471F31"/>
    <w:rsid w:val="00473116"/>
    <w:rsid w:val="00477593"/>
    <w:rsid w:val="004860DF"/>
    <w:rsid w:val="0048793D"/>
    <w:rsid w:val="004924BA"/>
    <w:rsid w:val="00495A6F"/>
    <w:rsid w:val="0049605F"/>
    <w:rsid w:val="004A75FA"/>
    <w:rsid w:val="004B187A"/>
    <w:rsid w:val="004B6DDC"/>
    <w:rsid w:val="004C3947"/>
    <w:rsid w:val="004C5554"/>
    <w:rsid w:val="004C5D6F"/>
    <w:rsid w:val="004D0CB7"/>
    <w:rsid w:val="004D0DC0"/>
    <w:rsid w:val="004D270B"/>
    <w:rsid w:val="004D39A8"/>
    <w:rsid w:val="004D76B4"/>
    <w:rsid w:val="004D7F23"/>
    <w:rsid w:val="004E1057"/>
    <w:rsid w:val="004E5D76"/>
    <w:rsid w:val="004F3342"/>
    <w:rsid w:val="005001BC"/>
    <w:rsid w:val="00500C67"/>
    <w:rsid w:val="0050124A"/>
    <w:rsid w:val="00502222"/>
    <w:rsid w:val="0050274A"/>
    <w:rsid w:val="00506FE0"/>
    <w:rsid w:val="00511DDB"/>
    <w:rsid w:val="00514B11"/>
    <w:rsid w:val="00515C05"/>
    <w:rsid w:val="00516DAB"/>
    <w:rsid w:val="00517B05"/>
    <w:rsid w:val="00524392"/>
    <w:rsid w:val="005268B6"/>
    <w:rsid w:val="00526D9D"/>
    <w:rsid w:val="005272B0"/>
    <w:rsid w:val="005307FA"/>
    <w:rsid w:val="00532B75"/>
    <w:rsid w:val="00533841"/>
    <w:rsid w:val="0053586C"/>
    <w:rsid w:val="0054001D"/>
    <w:rsid w:val="005437E6"/>
    <w:rsid w:val="0054419F"/>
    <w:rsid w:val="00545E70"/>
    <w:rsid w:val="005624BA"/>
    <w:rsid w:val="005626E3"/>
    <w:rsid w:val="005635F9"/>
    <w:rsid w:val="00564884"/>
    <w:rsid w:val="00565530"/>
    <w:rsid w:val="00570AC1"/>
    <w:rsid w:val="00573ED9"/>
    <w:rsid w:val="00575330"/>
    <w:rsid w:val="00575A50"/>
    <w:rsid w:val="00576A74"/>
    <w:rsid w:val="00581A83"/>
    <w:rsid w:val="00584E60"/>
    <w:rsid w:val="005879DD"/>
    <w:rsid w:val="00591AE1"/>
    <w:rsid w:val="0059422B"/>
    <w:rsid w:val="0059455B"/>
    <w:rsid w:val="00594629"/>
    <w:rsid w:val="00595CA1"/>
    <w:rsid w:val="005A6EBB"/>
    <w:rsid w:val="005B1DEE"/>
    <w:rsid w:val="005B1F23"/>
    <w:rsid w:val="005B3066"/>
    <w:rsid w:val="005C0AA0"/>
    <w:rsid w:val="005C4CCB"/>
    <w:rsid w:val="005C50E1"/>
    <w:rsid w:val="005C789D"/>
    <w:rsid w:val="005D3E6C"/>
    <w:rsid w:val="005D58F8"/>
    <w:rsid w:val="005D6A53"/>
    <w:rsid w:val="005E3D7E"/>
    <w:rsid w:val="005E51E0"/>
    <w:rsid w:val="005E51FD"/>
    <w:rsid w:val="005E5376"/>
    <w:rsid w:val="005E63DB"/>
    <w:rsid w:val="005E7092"/>
    <w:rsid w:val="005E7E0A"/>
    <w:rsid w:val="00600177"/>
    <w:rsid w:val="00600552"/>
    <w:rsid w:val="006168EF"/>
    <w:rsid w:val="006269ED"/>
    <w:rsid w:val="00631977"/>
    <w:rsid w:val="00640629"/>
    <w:rsid w:val="00643F12"/>
    <w:rsid w:val="00644E24"/>
    <w:rsid w:val="006472AB"/>
    <w:rsid w:val="006538C4"/>
    <w:rsid w:val="006573A0"/>
    <w:rsid w:val="00660677"/>
    <w:rsid w:val="00663F14"/>
    <w:rsid w:val="00664B7D"/>
    <w:rsid w:val="00664B98"/>
    <w:rsid w:val="006650A8"/>
    <w:rsid w:val="00671731"/>
    <w:rsid w:val="006731BB"/>
    <w:rsid w:val="00674711"/>
    <w:rsid w:val="0067740C"/>
    <w:rsid w:val="00680D38"/>
    <w:rsid w:val="0068144C"/>
    <w:rsid w:val="0068204A"/>
    <w:rsid w:val="00684502"/>
    <w:rsid w:val="00690B04"/>
    <w:rsid w:val="00696C17"/>
    <w:rsid w:val="006A0181"/>
    <w:rsid w:val="006A15F3"/>
    <w:rsid w:val="006A57A2"/>
    <w:rsid w:val="006A580F"/>
    <w:rsid w:val="006A5D53"/>
    <w:rsid w:val="006A6804"/>
    <w:rsid w:val="006A6FDA"/>
    <w:rsid w:val="006B02AB"/>
    <w:rsid w:val="006B0406"/>
    <w:rsid w:val="006B4B5E"/>
    <w:rsid w:val="006C3DD1"/>
    <w:rsid w:val="006C5287"/>
    <w:rsid w:val="006C7199"/>
    <w:rsid w:val="006D0862"/>
    <w:rsid w:val="006D192D"/>
    <w:rsid w:val="006D4437"/>
    <w:rsid w:val="006D4FC5"/>
    <w:rsid w:val="006D6781"/>
    <w:rsid w:val="006F4CF2"/>
    <w:rsid w:val="00700231"/>
    <w:rsid w:val="00700287"/>
    <w:rsid w:val="00706E3F"/>
    <w:rsid w:val="00712D5D"/>
    <w:rsid w:val="0071353E"/>
    <w:rsid w:val="007143BF"/>
    <w:rsid w:val="00715547"/>
    <w:rsid w:val="00715A8F"/>
    <w:rsid w:val="00716C57"/>
    <w:rsid w:val="00716DD7"/>
    <w:rsid w:val="00716F76"/>
    <w:rsid w:val="00721E64"/>
    <w:rsid w:val="00722B6D"/>
    <w:rsid w:val="0072565D"/>
    <w:rsid w:val="007301DC"/>
    <w:rsid w:val="00730E78"/>
    <w:rsid w:val="0073638B"/>
    <w:rsid w:val="007367E1"/>
    <w:rsid w:val="007372D5"/>
    <w:rsid w:val="0074098B"/>
    <w:rsid w:val="007436FB"/>
    <w:rsid w:val="007470AC"/>
    <w:rsid w:val="0075117D"/>
    <w:rsid w:val="00752710"/>
    <w:rsid w:val="007530FA"/>
    <w:rsid w:val="00754FE2"/>
    <w:rsid w:val="00762663"/>
    <w:rsid w:val="00764377"/>
    <w:rsid w:val="00765B71"/>
    <w:rsid w:val="00765F5F"/>
    <w:rsid w:val="007666CD"/>
    <w:rsid w:val="00771C6C"/>
    <w:rsid w:val="007728A3"/>
    <w:rsid w:val="0078075D"/>
    <w:rsid w:val="00786681"/>
    <w:rsid w:val="00786E4B"/>
    <w:rsid w:val="00792DE6"/>
    <w:rsid w:val="00792EA8"/>
    <w:rsid w:val="0079382E"/>
    <w:rsid w:val="007A2059"/>
    <w:rsid w:val="007A2987"/>
    <w:rsid w:val="007A7708"/>
    <w:rsid w:val="007B4905"/>
    <w:rsid w:val="007B6B3E"/>
    <w:rsid w:val="007C58D6"/>
    <w:rsid w:val="007D1EEE"/>
    <w:rsid w:val="007D6CF4"/>
    <w:rsid w:val="007E56B3"/>
    <w:rsid w:val="007F1FB4"/>
    <w:rsid w:val="007F2028"/>
    <w:rsid w:val="007F3A6F"/>
    <w:rsid w:val="007F50AC"/>
    <w:rsid w:val="008014DB"/>
    <w:rsid w:val="008064C0"/>
    <w:rsid w:val="008150AE"/>
    <w:rsid w:val="0082182E"/>
    <w:rsid w:val="00821E17"/>
    <w:rsid w:val="00822E7D"/>
    <w:rsid w:val="00825AD6"/>
    <w:rsid w:val="00827D88"/>
    <w:rsid w:val="008307A2"/>
    <w:rsid w:val="008360B9"/>
    <w:rsid w:val="00841406"/>
    <w:rsid w:val="008432F7"/>
    <w:rsid w:val="00843A9A"/>
    <w:rsid w:val="0084589C"/>
    <w:rsid w:val="0085172C"/>
    <w:rsid w:val="0085180A"/>
    <w:rsid w:val="008519BD"/>
    <w:rsid w:val="00851B20"/>
    <w:rsid w:val="00854FEA"/>
    <w:rsid w:val="0085589B"/>
    <w:rsid w:val="008566D1"/>
    <w:rsid w:val="0086614C"/>
    <w:rsid w:val="008679E7"/>
    <w:rsid w:val="00872A8F"/>
    <w:rsid w:val="00873722"/>
    <w:rsid w:val="0087574E"/>
    <w:rsid w:val="008779ED"/>
    <w:rsid w:val="00880E35"/>
    <w:rsid w:val="00891334"/>
    <w:rsid w:val="008970CB"/>
    <w:rsid w:val="008A2826"/>
    <w:rsid w:val="008A2ACA"/>
    <w:rsid w:val="008A793E"/>
    <w:rsid w:val="008B0234"/>
    <w:rsid w:val="008B1597"/>
    <w:rsid w:val="008B36B5"/>
    <w:rsid w:val="008B4463"/>
    <w:rsid w:val="008C698B"/>
    <w:rsid w:val="008D51FA"/>
    <w:rsid w:val="008D7F05"/>
    <w:rsid w:val="008E1DBB"/>
    <w:rsid w:val="008E3FEF"/>
    <w:rsid w:val="008E4350"/>
    <w:rsid w:val="008E6DEC"/>
    <w:rsid w:val="008E7550"/>
    <w:rsid w:val="008F1B7B"/>
    <w:rsid w:val="008F2A08"/>
    <w:rsid w:val="008F4A4B"/>
    <w:rsid w:val="00902A91"/>
    <w:rsid w:val="00905F33"/>
    <w:rsid w:val="00905FE4"/>
    <w:rsid w:val="009133CF"/>
    <w:rsid w:val="00920344"/>
    <w:rsid w:val="00926210"/>
    <w:rsid w:val="0092689E"/>
    <w:rsid w:val="00926CE4"/>
    <w:rsid w:val="009271EE"/>
    <w:rsid w:val="009317D4"/>
    <w:rsid w:val="0093361E"/>
    <w:rsid w:val="009369AD"/>
    <w:rsid w:val="00951751"/>
    <w:rsid w:val="00960737"/>
    <w:rsid w:val="00963940"/>
    <w:rsid w:val="00963EFE"/>
    <w:rsid w:val="00967E03"/>
    <w:rsid w:val="00972CF1"/>
    <w:rsid w:val="009761EE"/>
    <w:rsid w:val="0097799A"/>
    <w:rsid w:val="00980F80"/>
    <w:rsid w:val="0098483F"/>
    <w:rsid w:val="00986C34"/>
    <w:rsid w:val="00996A8C"/>
    <w:rsid w:val="009A4000"/>
    <w:rsid w:val="009A76DF"/>
    <w:rsid w:val="009B0061"/>
    <w:rsid w:val="009B1044"/>
    <w:rsid w:val="009B2140"/>
    <w:rsid w:val="009B2C73"/>
    <w:rsid w:val="009B2E7F"/>
    <w:rsid w:val="009B54D3"/>
    <w:rsid w:val="009B7B5C"/>
    <w:rsid w:val="009C15B1"/>
    <w:rsid w:val="009C3607"/>
    <w:rsid w:val="009C4434"/>
    <w:rsid w:val="009C7AA8"/>
    <w:rsid w:val="009D2EEC"/>
    <w:rsid w:val="009D35DF"/>
    <w:rsid w:val="009D3BE4"/>
    <w:rsid w:val="009D47ED"/>
    <w:rsid w:val="009D4A94"/>
    <w:rsid w:val="009E0B05"/>
    <w:rsid w:val="009E21BD"/>
    <w:rsid w:val="009F4BFA"/>
    <w:rsid w:val="009F4F85"/>
    <w:rsid w:val="009F7A78"/>
    <w:rsid w:val="00A02ADE"/>
    <w:rsid w:val="00A0421F"/>
    <w:rsid w:val="00A044A2"/>
    <w:rsid w:val="00A1397D"/>
    <w:rsid w:val="00A149A1"/>
    <w:rsid w:val="00A2549E"/>
    <w:rsid w:val="00A25BE6"/>
    <w:rsid w:val="00A26352"/>
    <w:rsid w:val="00A35EA9"/>
    <w:rsid w:val="00A367CB"/>
    <w:rsid w:val="00A43643"/>
    <w:rsid w:val="00A46BDB"/>
    <w:rsid w:val="00A545F1"/>
    <w:rsid w:val="00A54C8D"/>
    <w:rsid w:val="00A60C80"/>
    <w:rsid w:val="00A62573"/>
    <w:rsid w:val="00A679F1"/>
    <w:rsid w:val="00A86F1C"/>
    <w:rsid w:val="00A91446"/>
    <w:rsid w:val="00A9190C"/>
    <w:rsid w:val="00A91AD3"/>
    <w:rsid w:val="00A94382"/>
    <w:rsid w:val="00A943A6"/>
    <w:rsid w:val="00A94629"/>
    <w:rsid w:val="00A9651C"/>
    <w:rsid w:val="00A967F0"/>
    <w:rsid w:val="00AA3AE7"/>
    <w:rsid w:val="00AA3DB9"/>
    <w:rsid w:val="00AA5029"/>
    <w:rsid w:val="00AB1B0D"/>
    <w:rsid w:val="00AB4FE9"/>
    <w:rsid w:val="00AB716A"/>
    <w:rsid w:val="00AC099F"/>
    <w:rsid w:val="00AC19F5"/>
    <w:rsid w:val="00AC21C8"/>
    <w:rsid w:val="00AC44CD"/>
    <w:rsid w:val="00AC79B1"/>
    <w:rsid w:val="00AD5A2B"/>
    <w:rsid w:val="00AD7177"/>
    <w:rsid w:val="00AE4EA5"/>
    <w:rsid w:val="00AE6760"/>
    <w:rsid w:val="00AF28E4"/>
    <w:rsid w:val="00AF50C1"/>
    <w:rsid w:val="00AF67C9"/>
    <w:rsid w:val="00B00BFA"/>
    <w:rsid w:val="00B00EA5"/>
    <w:rsid w:val="00B019C6"/>
    <w:rsid w:val="00B0272A"/>
    <w:rsid w:val="00B03B5B"/>
    <w:rsid w:val="00B048C2"/>
    <w:rsid w:val="00B0709C"/>
    <w:rsid w:val="00B12A8D"/>
    <w:rsid w:val="00B2461E"/>
    <w:rsid w:val="00B33DF4"/>
    <w:rsid w:val="00B35355"/>
    <w:rsid w:val="00B40259"/>
    <w:rsid w:val="00B43942"/>
    <w:rsid w:val="00B46E7C"/>
    <w:rsid w:val="00B50DAF"/>
    <w:rsid w:val="00B56963"/>
    <w:rsid w:val="00B61A08"/>
    <w:rsid w:val="00B71FDA"/>
    <w:rsid w:val="00B7515D"/>
    <w:rsid w:val="00B75F86"/>
    <w:rsid w:val="00B764F1"/>
    <w:rsid w:val="00B94942"/>
    <w:rsid w:val="00BA4F2C"/>
    <w:rsid w:val="00BA5D51"/>
    <w:rsid w:val="00BA74AE"/>
    <w:rsid w:val="00BA74DF"/>
    <w:rsid w:val="00BA7A51"/>
    <w:rsid w:val="00BB04B7"/>
    <w:rsid w:val="00BB65A9"/>
    <w:rsid w:val="00BB7C67"/>
    <w:rsid w:val="00BB7E96"/>
    <w:rsid w:val="00BC27E5"/>
    <w:rsid w:val="00BD1D6F"/>
    <w:rsid w:val="00BD36DC"/>
    <w:rsid w:val="00BD3A0D"/>
    <w:rsid w:val="00BD3F30"/>
    <w:rsid w:val="00BD4CAB"/>
    <w:rsid w:val="00BD5BE4"/>
    <w:rsid w:val="00BD6ADD"/>
    <w:rsid w:val="00BD7226"/>
    <w:rsid w:val="00BE0B45"/>
    <w:rsid w:val="00BE2640"/>
    <w:rsid w:val="00BE358C"/>
    <w:rsid w:val="00BE3765"/>
    <w:rsid w:val="00BF3C56"/>
    <w:rsid w:val="00C039B0"/>
    <w:rsid w:val="00C05F40"/>
    <w:rsid w:val="00C134FD"/>
    <w:rsid w:val="00C1384F"/>
    <w:rsid w:val="00C1513B"/>
    <w:rsid w:val="00C16BB0"/>
    <w:rsid w:val="00C17F1C"/>
    <w:rsid w:val="00C22A1F"/>
    <w:rsid w:val="00C233DC"/>
    <w:rsid w:val="00C272AE"/>
    <w:rsid w:val="00C27B6A"/>
    <w:rsid w:val="00C331C2"/>
    <w:rsid w:val="00C36A57"/>
    <w:rsid w:val="00C42177"/>
    <w:rsid w:val="00C44889"/>
    <w:rsid w:val="00C4606F"/>
    <w:rsid w:val="00C567BD"/>
    <w:rsid w:val="00C67DF2"/>
    <w:rsid w:val="00C704D1"/>
    <w:rsid w:val="00C81ECE"/>
    <w:rsid w:val="00C82C69"/>
    <w:rsid w:val="00C84D52"/>
    <w:rsid w:val="00C86296"/>
    <w:rsid w:val="00C90A5F"/>
    <w:rsid w:val="00C943CA"/>
    <w:rsid w:val="00CA3675"/>
    <w:rsid w:val="00CA3D80"/>
    <w:rsid w:val="00CA5944"/>
    <w:rsid w:val="00CA7F2A"/>
    <w:rsid w:val="00CB2590"/>
    <w:rsid w:val="00CB3028"/>
    <w:rsid w:val="00CD0679"/>
    <w:rsid w:val="00CD3F93"/>
    <w:rsid w:val="00CD63A4"/>
    <w:rsid w:val="00CE063F"/>
    <w:rsid w:val="00CF09C3"/>
    <w:rsid w:val="00CF2B4E"/>
    <w:rsid w:val="00CF3705"/>
    <w:rsid w:val="00CF3866"/>
    <w:rsid w:val="00CF3D58"/>
    <w:rsid w:val="00CF4569"/>
    <w:rsid w:val="00CF6958"/>
    <w:rsid w:val="00CF78A9"/>
    <w:rsid w:val="00CF7983"/>
    <w:rsid w:val="00D0246E"/>
    <w:rsid w:val="00D0686B"/>
    <w:rsid w:val="00D123D1"/>
    <w:rsid w:val="00D1248E"/>
    <w:rsid w:val="00D125E1"/>
    <w:rsid w:val="00D13896"/>
    <w:rsid w:val="00D13BF1"/>
    <w:rsid w:val="00D13EAB"/>
    <w:rsid w:val="00D30861"/>
    <w:rsid w:val="00D354B8"/>
    <w:rsid w:val="00D3613E"/>
    <w:rsid w:val="00D416FB"/>
    <w:rsid w:val="00D427AE"/>
    <w:rsid w:val="00D443EB"/>
    <w:rsid w:val="00D47651"/>
    <w:rsid w:val="00D56E81"/>
    <w:rsid w:val="00D62F40"/>
    <w:rsid w:val="00D64328"/>
    <w:rsid w:val="00D64AB1"/>
    <w:rsid w:val="00D70147"/>
    <w:rsid w:val="00D70559"/>
    <w:rsid w:val="00D802F3"/>
    <w:rsid w:val="00D8085E"/>
    <w:rsid w:val="00D81C26"/>
    <w:rsid w:val="00D87ACB"/>
    <w:rsid w:val="00D87E07"/>
    <w:rsid w:val="00DB169A"/>
    <w:rsid w:val="00DB476B"/>
    <w:rsid w:val="00DB72EA"/>
    <w:rsid w:val="00DC044F"/>
    <w:rsid w:val="00DC195C"/>
    <w:rsid w:val="00DC4207"/>
    <w:rsid w:val="00DD2ED1"/>
    <w:rsid w:val="00DE6858"/>
    <w:rsid w:val="00DE6B9F"/>
    <w:rsid w:val="00DF01D1"/>
    <w:rsid w:val="00DF051A"/>
    <w:rsid w:val="00DF1C57"/>
    <w:rsid w:val="00DF2C5D"/>
    <w:rsid w:val="00DF36FB"/>
    <w:rsid w:val="00DF6D5B"/>
    <w:rsid w:val="00DF73DF"/>
    <w:rsid w:val="00E070FF"/>
    <w:rsid w:val="00E101D7"/>
    <w:rsid w:val="00E143FE"/>
    <w:rsid w:val="00E17FF3"/>
    <w:rsid w:val="00E226B0"/>
    <w:rsid w:val="00E5097B"/>
    <w:rsid w:val="00E50C0B"/>
    <w:rsid w:val="00E524D1"/>
    <w:rsid w:val="00E54A9E"/>
    <w:rsid w:val="00E55C18"/>
    <w:rsid w:val="00E57205"/>
    <w:rsid w:val="00E631DF"/>
    <w:rsid w:val="00E66AF5"/>
    <w:rsid w:val="00E7245C"/>
    <w:rsid w:val="00E91F1C"/>
    <w:rsid w:val="00E955D6"/>
    <w:rsid w:val="00E96703"/>
    <w:rsid w:val="00EA5EDB"/>
    <w:rsid w:val="00EA65CC"/>
    <w:rsid w:val="00EA74BF"/>
    <w:rsid w:val="00EB3656"/>
    <w:rsid w:val="00EB3C6B"/>
    <w:rsid w:val="00EC3C32"/>
    <w:rsid w:val="00ED1F06"/>
    <w:rsid w:val="00ED657D"/>
    <w:rsid w:val="00EE3276"/>
    <w:rsid w:val="00EE33C6"/>
    <w:rsid w:val="00EE3887"/>
    <w:rsid w:val="00EE5C70"/>
    <w:rsid w:val="00EE7D78"/>
    <w:rsid w:val="00EF2DDA"/>
    <w:rsid w:val="00EF7B50"/>
    <w:rsid w:val="00F006F9"/>
    <w:rsid w:val="00F02C6F"/>
    <w:rsid w:val="00F039E2"/>
    <w:rsid w:val="00F04911"/>
    <w:rsid w:val="00F052CB"/>
    <w:rsid w:val="00F07273"/>
    <w:rsid w:val="00F12130"/>
    <w:rsid w:val="00F13F08"/>
    <w:rsid w:val="00F16BDC"/>
    <w:rsid w:val="00F21386"/>
    <w:rsid w:val="00F2698A"/>
    <w:rsid w:val="00F26D55"/>
    <w:rsid w:val="00F30210"/>
    <w:rsid w:val="00F3045B"/>
    <w:rsid w:val="00F34B1F"/>
    <w:rsid w:val="00F3551C"/>
    <w:rsid w:val="00F42649"/>
    <w:rsid w:val="00F45966"/>
    <w:rsid w:val="00F46346"/>
    <w:rsid w:val="00F46D70"/>
    <w:rsid w:val="00F6098B"/>
    <w:rsid w:val="00F612DA"/>
    <w:rsid w:val="00F64E10"/>
    <w:rsid w:val="00F6540B"/>
    <w:rsid w:val="00F65E14"/>
    <w:rsid w:val="00F719D2"/>
    <w:rsid w:val="00F72C1F"/>
    <w:rsid w:val="00F730C5"/>
    <w:rsid w:val="00F752B8"/>
    <w:rsid w:val="00F82143"/>
    <w:rsid w:val="00F86680"/>
    <w:rsid w:val="00F93537"/>
    <w:rsid w:val="00F958FE"/>
    <w:rsid w:val="00F97081"/>
    <w:rsid w:val="00F9720B"/>
    <w:rsid w:val="00FA4A98"/>
    <w:rsid w:val="00FA6FAB"/>
    <w:rsid w:val="00FB0655"/>
    <w:rsid w:val="00FB0839"/>
    <w:rsid w:val="00FB749E"/>
    <w:rsid w:val="00FC0635"/>
    <w:rsid w:val="00FC12A0"/>
    <w:rsid w:val="00FC3C2F"/>
    <w:rsid w:val="00FC5CA2"/>
    <w:rsid w:val="00FC67C3"/>
    <w:rsid w:val="00FC7724"/>
    <w:rsid w:val="00FD14C1"/>
    <w:rsid w:val="00FD4A24"/>
    <w:rsid w:val="00FE2229"/>
    <w:rsid w:val="00FE4915"/>
    <w:rsid w:val="00FE53D9"/>
    <w:rsid w:val="00FF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8AF42"/>
  <w15:chartTrackingRefBased/>
  <w15:docId w15:val="{5BAD3055-19BF-4919-B375-35597DD3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F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9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79F1"/>
    <w:rPr>
      <w:sz w:val="18"/>
      <w:szCs w:val="18"/>
    </w:rPr>
  </w:style>
  <w:style w:type="paragraph" w:styleId="a5">
    <w:name w:val="footer"/>
    <w:basedOn w:val="a"/>
    <w:link w:val="a6"/>
    <w:uiPriority w:val="99"/>
    <w:unhideWhenUsed/>
    <w:rsid w:val="00A679F1"/>
    <w:pPr>
      <w:tabs>
        <w:tab w:val="center" w:pos="4153"/>
        <w:tab w:val="right" w:pos="8306"/>
      </w:tabs>
      <w:snapToGrid w:val="0"/>
      <w:jc w:val="left"/>
    </w:pPr>
    <w:rPr>
      <w:sz w:val="18"/>
      <w:szCs w:val="18"/>
    </w:rPr>
  </w:style>
  <w:style w:type="character" w:customStyle="1" w:styleId="a6">
    <w:name w:val="页脚 字符"/>
    <w:basedOn w:val="a0"/>
    <w:link w:val="a5"/>
    <w:uiPriority w:val="99"/>
    <w:rsid w:val="00A679F1"/>
    <w:rPr>
      <w:sz w:val="18"/>
      <w:szCs w:val="18"/>
    </w:rPr>
  </w:style>
  <w:style w:type="paragraph" w:styleId="a7">
    <w:name w:val="List Paragraph"/>
    <w:basedOn w:val="a"/>
    <w:uiPriority w:val="34"/>
    <w:qFormat/>
    <w:rsid w:val="00A679F1"/>
    <w:pPr>
      <w:autoSpaceDE w:val="0"/>
      <w:autoSpaceDN w:val="0"/>
      <w:adjustRightInd w:val="0"/>
      <w:ind w:firstLineChars="200" w:firstLine="420"/>
      <w:jc w:val="left"/>
    </w:pPr>
    <w:rPr>
      <w:rFonts w:ascii="Times New Roman" w:eastAsia="宋体"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679">
      <w:bodyDiv w:val="1"/>
      <w:marLeft w:val="0"/>
      <w:marRight w:val="0"/>
      <w:marTop w:val="0"/>
      <w:marBottom w:val="0"/>
      <w:divBdr>
        <w:top w:val="none" w:sz="0" w:space="0" w:color="auto"/>
        <w:left w:val="none" w:sz="0" w:space="0" w:color="auto"/>
        <w:bottom w:val="none" w:sz="0" w:space="0" w:color="auto"/>
        <w:right w:val="none" w:sz="0" w:space="0" w:color="auto"/>
      </w:divBdr>
    </w:div>
    <w:div w:id="17883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陈东梅</dc:creator>
  <cp:keywords/>
  <dc:description/>
  <cp:lastModifiedBy>陈东梅</cp:lastModifiedBy>
  <cp:revision>8</cp:revision>
  <dcterms:created xsi:type="dcterms:W3CDTF">2020-04-07T07:57:00Z</dcterms:created>
  <dcterms:modified xsi:type="dcterms:W3CDTF">2020-04-07T09:19:00Z</dcterms:modified>
</cp:coreProperties>
</file>