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1080" w:lineRule="exact"/>
        <w:ind w:left="0" w:right="0"/>
        <w:jc w:val="center"/>
        <w:rPr>
          <w:rFonts w:hint="eastAsia" w:ascii="方正小标宋简体" w:hAnsi="宋体" w:eastAsia="方正小标宋简体" w:cs="Times New Roman"/>
          <w:color w:val="FF0000"/>
          <w:sz w:val="84"/>
          <w:szCs w:val="84"/>
          <w:lang w:val="en-US"/>
        </w:rPr>
      </w:pPr>
    </w:p>
    <w:p>
      <w:pPr>
        <w:keepNext w:val="0"/>
        <w:keepLines w:val="0"/>
        <w:widowControl w:val="0"/>
        <w:suppressLineNumbers w:val="0"/>
        <w:spacing w:before="0" w:beforeAutospacing="0" w:after="0" w:afterAutospacing="0" w:line="1080" w:lineRule="exact"/>
        <w:ind w:left="0" w:right="0"/>
        <w:jc w:val="center"/>
        <w:rPr>
          <w:rFonts w:hint="eastAsia" w:ascii="方正小标宋简体" w:hAnsi="宋体" w:eastAsia="方正小标宋简体" w:cs="Times New Roman"/>
          <w:color w:val="FF0000"/>
          <w:sz w:val="84"/>
          <w:szCs w:val="84"/>
          <w:lang w:val="en-US"/>
        </w:rPr>
      </w:pPr>
      <w:r>
        <w:rPr>
          <w:rFonts w:hint="eastAsia" w:ascii="方正小标宋简体" w:hAnsi="宋体" w:eastAsia="方正小标宋简体" w:cs="方正小标宋简体"/>
          <w:color w:val="FF0000"/>
          <w:kern w:val="2"/>
          <w:sz w:val="84"/>
          <w:szCs w:val="84"/>
          <w:lang w:val="en-US" w:eastAsia="zh-CN" w:bidi="ar"/>
        </w:rPr>
        <w:t>东 莞 市</w:t>
      </w:r>
    </w:p>
    <w:p>
      <w:pPr>
        <w:keepNext w:val="0"/>
        <w:keepLines w:val="0"/>
        <w:widowControl w:val="0"/>
        <w:suppressLineNumbers w:val="0"/>
        <w:spacing w:before="0" w:beforeAutospacing="0" w:after="0" w:afterAutospacing="0" w:line="1080" w:lineRule="exact"/>
        <w:ind w:left="0" w:right="0"/>
        <w:jc w:val="both"/>
        <w:rPr>
          <w:rFonts w:hint="eastAsia" w:ascii="方正小标宋简体" w:hAnsi="宋体" w:eastAsia="方正小标宋简体" w:cs="Times New Roman"/>
          <w:color w:val="FF0000"/>
          <w:w w:val="75"/>
          <w:sz w:val="84"/>
          <w:szCs w:val="84"/>
          <w:lang w:val="en-US"/>
        </w:rPr>
      </w:pPr>
      <w:r>
        <w:rPr>
          <w:rFonts w:hint="eastAsia" w:ascii="方正小标宋简体" w:hAnsi="宋体" w:eastAsia="方正小标宋简体" w:cs="方正小标宋简体"/>
          <w:color w:val="FF0000"/>
          <w:w w:val="75"/>
          <w:kern w:val="2"/>
          <w:sz w:val="84"/>
          <w:szCs w:val="84"/>
          <w:lang w:val="en-US" w:eastAsia="zh-CN" w:bidi="ar"/>
        </w:rPr>
        <w:t>食品药品监管局莞城分局文件</w:t>
      </w:r>
    </w:p>
    <w:p>
      <w:pPr>
        <w:keepNext w:val="0"/>
        <w:keepLines w:val="0"/>
        <w:widowControl w:val="0"/>
        <w:suppressLineNumbers w:val="0"/>
        <w:spacing w:before="0" w:beforeAutospacing="0" w:after="0" w:afterAutospacing="0" w:line="600" w:lineRule="exact"/>
        <w:ind w:left="0" w:right="0"/>
        <w:jc w:val="both"/>
        <w:rPr>
          <w:rFonts w:hint="eastAsia" w:ascii="方正小标宋简体" w:hAnsi="宋体" w:eastAsia="方正小标宋简体" w:cs="Times New Roman"/>
          <w:sz w:val="32"/>
          <w:szCs w:val="32"/>
          <w:lang w:val="en-US"/>
        </w:rPr>
      </w:pPr>
    </w:p>
    <w:p>
      <w:pPr>
        <w:keepNext w:val="0"/>
        <w:keepLines w:val="0"/>
        <w:widowControl w:val="0"/>
        <w:suppressLineNumbers w:val="0"/>
        <w:spacing w:before="0" w:beforeAutospacing="0" w:after="0" w:afterAutospacing="0" w:line="600" w:lineRule="exact"/>
        <w:ind w:left="0" w:right="0" w:firstLine="2240" w:firstLineChars="700"/>
        <w:jc w:val="both"/>
        <w:rPr>
          <w:rFonts w:hint="eastAsia" w:ascii="仿宋_GB2312" w:hAnsi="宋体" w:eastAsia="仿宋_GB2312" w:cs="Times New Roman"/>
          <w:color w:val="000000"/>
          <w:sz w:val="32"/>
          <w:szCs w:val="32"/>
          <w:lang w:val="en-US"/>
        </w:rPr>
      </w:pPr>
      <w:r>
        <w:rPr>
          <w:rFonts w:hint="eastAsia" w:ascii="仿宋_GB2312" w:hAnsi="宋体" w:eastAsia="仿宋_GB2312" w:cs="仿宋_GB2312"/>
          <w:color w:val="000000"/>
          <w:kern w:val="2"/>
          <w:sz w:val="32"/>
          <w:szCs w:val="32"/>
          <w:lang w:val="en-US" w:eastAsia="zh-CN" w:bidi="ar"/>
        </w:rPr>
        <w:t>莞城食药监〔2017〕5</w:t>
      </w:r>
      <w:bookmarkStart w:id="0" w:name="_GoBack"/>
      <w:bookmarkEnd w:id="0"/>
      <w:r>
        <w:rPr>
          <w:rFonts w:hint="eastAsia" w:ascii="仿宋_GB2312" w:hAnsi="宋体" w:eastAsia="仿宋_GB2312" w:cs="仿宋_GB2312"/>
          <w:color w:val="000000"/>
          <w:kern w:val="2"/>
          <w:sz w:val="32"/>
          <w:szCs w:val="32"/>
          <w:lang w:val="en-US" w:eastAsia="zh-CN" w:bidi="ar"/>
        </w:rPr>
        <w:t>号</w:t>
      </w:r>
    </w:p>
    <w:p>
      <w:pPr>
        <w:keepNext w:val="0"/>
        <w:keepLines w:val="0"/>
        <w:widowControl w:val="0"/>
        <w:suppressLineNumbers w:val="0"/>
        <w:spacing w:before="0" w:beforeAutospacing="0" w:after="0" w:afterAutospacing="0" w:line="600" w:lineRule="exact"/>
        <w:ind w:left="0" w:right="0" w:firstLine="210" w:firstLineChars="100"/>
        <w:jc w:val="both"/>
        <w:rPr>
          <w:rFonts w:hint="eastAsia" w:ascii="方正小标宋简体" w:hAnsi="宋体" w:eastAsia="方正小标宋简体" w:cs="Times New Roman"/>
          <w:sz w:val="44"/>
          <w:szCs w:val="44"/>
          <w:lang w:val="en-US"/>
        </w:rPr>
      </w:pPr>
      <w:r>
        <w:rPr>
          <w:rFonts w:hint="default" w:ascii="Calibri" w:hAnsi="Calibri" w:eastAsia="宋体" w:cs="Calibri"/>
          <w:kern w:val="2"/>
          <w:sz w:val="21"/>
          <w:szCs w:val="21"/>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251460</wp:posOffset>
                </wp:positionV>
                <wp:extent cx="6172200" cy="0"/>
                <wp:effectExtent l="0" t="19050" r="0" b="19050"/>
                <wp:wrapNone/>
                <wp:docPr id="1" name="直线 2"/>
                <wp:cNvGraphicFramePr/>
                <a:graphic xmlns:a="http://schemas.openxmlformats.org/drawingml/2006/main">
                  <a:graphicData uri="http://schemas.microsoft.com/office/word/2010/wordprocessingShape">
                    <wps:wsp>
                      <wps:cNvSpPr/>
                      <wps:spPr>
                        <a:xfrm>
                          <a:off x="0" y="0"/>
                          <a:ext cx="61722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7pt;margin-top:19.8pt;height:0pt;width:486pt;z-index:251659264;mso-width-relative:page;mso-height-relative:page;" stroked="t" coordsize="21600,21600" o:gfxdata="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Z8wj2wAAAAkBAAAPAAAAAAAAAAEAIAAAACIA&#10;AABkcnMvZG93bnJldi54bWxQSwECFAAUAAAACACHTuJAF+4f7M0BAACOAwAADgAAAAAAAAABACAA&#10;AAAqAQAAZHJzL2Uyb0RvYy54bWxQSwUGAAAAAAYABgBZAQAAaQUAAAAA&#10;">
                <v:path arrowok="t"/>
                <v:fill focussize="0,0"/>
                <v:stroke weight="3pt" color="#FF0000"/>
                <v:imagedata o:title=""/>
                <o:lock v:ext="edit"/>
              </v:line>
            </w:pict>
          </mc:Fallback>
        </mc:AlternateContent>
      </w:r>
    </w:p>
    <w:p>
      <w:pPr>
        <w:keepNext w:val="0"/>
        <w:keepLines w:val="0"/>
        <w:widowControl w:val="0"/>
        <w:suppressLineNumbers w:val="0"/>
        <w:snapToGrid w:val="0"/>
        <w:spacing w:before="0" w:beforeAutospacing="0" w:after="0" w:afterAutospacing="0" w:line="600" w:lineRule="exact"/>
        <w:ind w:left="0" w:right="0"/>
        <w:jc w:val="both"/>
        <w:rPr>
          <w:rFonts w:hint="eastAsia" w:ascii="方正小标宋简体" w:hAnsi="Times New Roman" w:eastAsia="方正小标宋简体" w:cs="Times New Roman"/>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东莞市食品药品监督管理局莞城分局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深入开展食品安全法律知识宣传教育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专项活动实施方案</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根据市局《关于举办东莞市食品药品监管系统食品安全执法人员法律知识竞赛的通知》（食药监办〔2017〕125号）要求，结合我分局实际制定本实施方案。</w:t>
      </w:r>
    </w:p>
    <w:p>
      <w:pPr>
        <w:numPr>
          <w:numId w:val="0"/>
        </w:numPr>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一、</w:t>
      </w:r>
      <w:r>
        <w:rPr>
          <w:rFonts w:hint="eastAsia" w:ascii="黑体" w:hAnsi="黑体" w:eastAsia="黑体" w:cs="黑体"/>
          <w:b/>
          <w:bCs/>
          <w:sz w:val="32"/>
          <w:szCs w:val="32"/>
          <w:lang w:eastAsia="zh-CN"/>
        </w:rPr>
        <w:t>活动目的</w:t>
      </w:r>
    </w:p>
    <w:p>
      <w:pPr>
        <w:numPr>
          <w:ilvl w:val="0"/>
          <w:numId w:val="0"/>
        </w:numPr>
        <w:ind w:firstLine="42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通过对分局内部工作人员及辖区广大群众开展以《食品安全法》及其配套制度为主要内容的一系列</w:t>
      </w:r>
      <w:r>
        <w:rPr>
          <w:rFonts w:hint="eastAsia" w:ascii="仿宋" w:hAnsi="仿宋" w:eastAsia="仿宋" w:cs="仿宋"/>
          <w:sz w:val="32"/>
          <w:szCs w:val="32"/>
          <w:lang w:eastAsia="zh-CN"/>
        </w:rPr>
        <w:t>宣传教育专项活动，对内进一步</w:t>
      </w:r>
      <w:r>
        <w:rPr>
          <w:rFonts w:hint="eastAsia" w:ascii="仿宋" w:hAnsi="仿宋" w:eastAsia="仿宋" w:cs="仿宋"/>
          <w:sz w:val="32"/>
          <w:szCs w:val="32"/>
          <w:lang w:val="en-US" w:eastAsia="zh-CN"/>
        </w:rPr>
        <w:t>营造分局内浓厚积极的学法氛围，</w:t>
      </w:r>
      <w:r>
        <w:rPr>
          <w:rFonts w:hint="eastAsia" w:ascii="仿宋" w:hAnsi="仿宋" w:eastAsia="仿宋" w:cs="仿宋"/>
          <w:sz w:val="32"/>
          <w:szCs w:val="32"/>
          <w:lang w:eastAsia="zh-CN"/>
        </w:rPr>
        <w:t>提升分局工作人员的食品安全依法行政水平；对外进一步普及辖区群众食品安全法律知识，提升社会食品安全治理水平。</w:t>
      </w:r>
    </w:p>
    <w:p>
      <w:pPr>
        <w:numPr>
          <w:numId w:val="0"/>
        </w:numPr>
        <w:rPr>
          <w:rFonts w:hint="eastAsia" w:ascii="黑体" w:hAnsi="黑体" w:eastAsia="黑体" w:cs="黑体"/>
          <w:sz w:val="32"/>
          <w:szCs w:val="32"/>
          <w:lang w:val="en-US" w:eastAsia="zh-CN"/>
        </w:rPr>
      </w:pPr>
      <w:r>
        <w:rPr>
          <w:rFonts w:hint="eastAsia" w:ascii="黑体" w:hAnsi="黑体" w:eastAsia="黑体" w:cs="黑体"/>
          <w:b/>
          <w:bCs/>
          <w:sz w:val="32"/>
          <w:szCs w:val="32"/>
          <w:lang w:val="en-US" w:eastAsia="zh-CN"/>
        </w:rPr>
        <w:t xml:space="preserve">    二、活动内容</w:t>
      </w:r>
    </w:p>
    <w:p>
      <w:pPr>
        <w:numPr>
          <w:ilvl w:val="0"/>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（一）开展分局2017年度食品安全法律知识考试</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次考试形式为闭卷笔试，地址为分局五楼会议室，参考对象为分局内部全体工作人员（分局领导及出卷评卷、监考人员除外），具体内容参照《关于举办东莞市食品药品监管系统食品安全执法人员法律知识竞赛的通知》要求执行。</w:t>
      </w:r>
    </w:p>
    <w:p>
      <w:pPr>
        <w:numPr>
          <w:ilvl w:val="0"/>
          <w:numId w:val="0"/>
        </w:numP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（二）开展一期户外大型食品安全法宣传活动</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结合“食品药品安全进社区”工作，选取辖区内人流量大、影响覆盖面广的区域开展一期食品安全法户外宣传活动。宣传活动中要积极争取莞城街道报道组等媒体介入报道，进一步扩大活动影响力。</w:t>
      </w:r>
    </w:p>
    <w:p>
      <w:pPr>
        <w:numPr>
          <w:ilvl w:val="0"/>
          <w:numId w:val="0"/>
        </w:num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lang w:val="en-US" w:eastAsia="zh-CN"/>
        </w:rPr>
        <w:t xml:space="preserve"> （三）开展一系列食品安全法宣传讲座</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合“食品药品安全进企业”工作，选取辖区内食品经营行业较为发达的区域，召集其食品经营户开展“以案说法”食品安全法律知识专题系列讲座。通过典型案例分析、法条讲解等方式警示教育食品经营者，督促其守法经营。本期专题讲座区域选定于万科城市中心广场。</w:t>
      </w:r>
    </w:p>
    <w:p>
      <w:pPr>
        <w:numPr>
          <w:ilvl w:val="0"/>
          <w:numId w:val="0"/>
        </w:numPr>
        <w:ind w:firstLine="64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三、时间安排及工作分工</w:t>
      </w:r>
    </w:p>
    <w:p>
      <w:pPr>
        <w:numPr>
          <w:ilvl w:val="0"/>
          <w:numId w:val="0"/>
        </w:numPr>
        <w:rPr>
          <w:rFonts w:hint="eastAsia" w:ascii="仿宋" w:hAnsi="仿宋" w:eastAsia="仿宋" w:cs="仿宋"/>
          <w:sz w:val="32"/>
          <w:szCs w:val="32"/>
          <w:lang w:val="en-US" w:eastAsia="zh-CN"/>
        </w:rPr>
      </w:pPr>
      <w:r>
        <w:rPr>
          <w:rFonts w:hint="eastAsia" w:ascii="楷体" w:hAnsi="楷体" w:eastAsia="楷体" w:cs="楷体"/>
          <w:lang w:val="en-US" w:eastAsia="zh-CN"/>
        </w:rPr>
        <w:t xml:space="preserve">    </w:t>
      </w:r>
      <w:r>
        <w:rPr>
          <w:rFonts w:hint="eastAsia" w:ascii="楷体" w:hAnsi="楷体" w:eastAsia="楷体" w:cs="楷体"/>
          <w:b/>
          <w:bCs/>
          <w:sz w:val="32"/>
          <w:szCs w:val="32"/>
          <w:lang w:val="en-US" w:eastAsia="zh-CN"/>
        </w:rPr>
        <w:t xml:space="preserve"> （一） 2017年度食品安全法律知识竞赛。</w:t>
      </w:r>
      <w:r>
        <w:rPr>
          <w:rFonts w:hint="eastAsia" w:ascii="仿宋" w:hAnsi="仿宋" w:eastAsia="仿宋" w:cs="仿宋"/>
          <w:sz w:val="32"/>
          <w:szCs w:val="32"/>
          <w:lang w:val="en-US" w:eastAsia="zh-CN"/>
        </w:rPr>
        <w:t>本活动计划于2017年10月31日前设置好题库，于11月上旬开展正式竞赛，具体竞赛时间另行通知。本活动由法制稽查组负责竞赛组织工作和题库设置、出卷印卷评卷、现场监考工作；办公室负责后勤保障工作；各监督组协助。</w:t>
      </w:r>
    </w:p>
    <w:p>
      <w:pPr>
        <w:numPr>
          <w:ilvl w:val="0"/>
          <w:numId w:val="0"/>
        </w:numPr>
        <w:ind w:firstLine="640"/>
        <w:rPr>
          <w:rFonts w:hint="eastAsia" w:ascii="仿宋" w:hAnsi="仿宋" w:eastAsia="仿宋" w:cs="仿宋"/>
          <w:b w:val="0"/>
          <w:bCs w:val="0"/>
          <w:sz w:val="32"/>
          <w:szCs w:val="32"/>
          <w:lang w:val="en-US" w:eastAsia="zh-CN"/>
        </w:rPr>
      </w:pPr>
      <w:r>
        <w:rPr>
          <w:rFonts w:hint="eastAsia" w:ascii="楷体" w:hAnsi="楷体" w:eastAsia="楷体" w:cs="楷体"/>
          <w:sz w:val="32"/>
          <w:szCs w:val="32"/>
          <w:lang w:val="en-US" w:eastAsia="zh-CN"/>
        </w:rPr>
        <w:t>（二）</w:t>
      </w:r>
      <w:r>
        <w:rPr>
          <w:rFonts w:hint="eastAsia" w:ascii="楷体" w:hAnsi="楷体" w:eastAsia="楷体" w:cs="楷体"/>
          <w:b/>
          <w:bCs/>
          <w:sz w:val="32"/>
          <w:szCs w:val="32"/>
          <w:lang w:val="en-US" w:eastAsia="zh-CN"/>
        </w:rPr>
        <w:t>户外大型食品安全法宣传活动。</w:t>
      </w:r>
      <w:r>
        <w:rPr>
          <w:rFonts w:hint="eastAsia" w:ascii="仿宋" w:hAnsi="仿宋" w:eastAsia="仿宋" w:cs="仿宋"/>
          <w:b w:val="0"/>
          <w:bCs w:val="0"/>
          <w:sz w:val="32"/>
          <w:szCs w:val="32"/>
          <w:lang w:val="en-US" w:eastAsia="zh-CN"/>
        </w:rPr>
        <w:t>本活动计划于2017年11月上旬开展，具体时间另行通知。本活动由办公室全面负责组织协调落实；法制稽查组、各监督组协助。</w:t>
      </w:r>
    </w:p>
    <w:p>
      <w:pPr>
        <w:numPr>
          <w:ilvl w:val="0"/>
          <w:numId w:val="0"/>
        </w:numPr>
        <w:ind w:firstLine="640"/>
        <w:rPr>
          <w:rFonts w:hint="eastAsia" w:ascii="仿宋" w:hAnsi="仿宋" w:eastAsia="仿宋" w:cs="仿宋"/>
          <w:sz w:val="32"/>
          <w:szCs w:val="32"/>
          <w:lang w:val="en-US" w:eastAsia="zh-CN"/>
        </w:rPr>
      </w:pPr>
      <w:r>
        <w:rPr>
          <w:rFonts w:hint="eastAsia" w:ascii="楷体" w:hAnsi="楷体" w:eastAsia="楷体" w:cs="楷体"/>
          <w:b w:val="0"/>
          <w:bCs w:val="0"/>
          <w:sz w:val="32"/>
          <w:szCs w:val="32"/>
          <w:lang w:val="en-US" w:eastAsia="zh-CN"/>
        </w:rPr>
        <w:t>（三）</w:t>
      </w:r>
      <w:r>
        <w:rPr>
          <w:rFonts w:hint="eastAsia" w:ascii="楷体" w:hAnsi="楷体" w:eastAsia="楷体" w:cs="楷体"/>
          <w:b/>
          <w:bCs/>
          <w:sz w:val="32"/>
          <w:szCs w:val="32"/>
          <w:lang w:val="en-US" w:eastAsia="zh-CN"/>
        </w:rPr>
        <w:t>食品安全法宣传讲座。</w:t>
      </w:r>
      <w:r>
        <w:rPr>
          <w:rFonts w:hint="eastAsia" w:ascii="仿宋" w:hAnsi="仿宋" w:eastAsia="仿宋" w:cs="仿宋"/>
          <w:b w:val="0"/>
          <w:bCs w:val="0"/>
          <w:sz w:val="32"/>
          <w:szCs w:val="32"/>
          <w:lang w:val="en-US" w:eastAsia="zh-CN"/>
        </w:rPr>
        <w:t>本期活动计划于2017年11月上旬开展，具体时间另行通知。本活动由</w:t>
      </w:r>
      <w:r>
        <w:rPr>
          <w:rFonts w:hint="eastAsia" w:ascii="仿宋" w:hAnsi="仿宋" w:eastAsia="仿宋" w:cs="仿宋"/>
          <w:sz w:val="32"/>
          <w:szCs w:val="32"/>
          <w:lang w:val="en-US" w:eastAsia="zh-CN"/>
        </w:rPr>
        <w:t>监督二组负责</w:t>
      </w:r>
      <w:r>
        <w:rPr>
          <w:rFonts w:hint="eastAsia" w:ascii="仿宋" w:hAnsi="仿宋" w:eastAsia="仿宋" w:cs="仿宋"/>
          <w:b w:val="0"/>
          <w:bCs w:val="0"/>
          <w:sz w:val="32"/>
          <w:szCs w:val="32"/>
          <w:lang w:val="en-US" w:eastAsia="zh-CN"/>
        </w:rPr>
        <w:t>组织协调工作和</w:t>
      </w:r>
      <w:r>
        <w:rPr>
          <w:rFonts w:hint="eastAsia" w:ascii="仿宋" w:hAnsi="仿宋" w:eastAsia="仿宋" w:cs="仿宋"/>
          <w:sz w:val="32"/>
          <w:szCs w:val="32"/>
          <w:lang w:val="en-US" w:eastAsia="zh-CN"/>
        </w:rPr>
        <w:t>授课对象选取、召集工作；</w:t>
      </w:r>
      <w:r>
        <w:rPr>
          <w:rFonts w:hint="eastAsia" w:ascii="仿宋" w:hAnsi="仿宋" w:eastAsia="仿宋" w:cs="仿宋"/>
          <w:b w:val="0"/>
          <w:bCs w:val="0"/>
          <w:sz w:val="32"/>
          <w:szCs w:val="32"/>
          <w:lang w:val="en-US" w:eastAsia="zh-CN"/>
        </w:rPr>
        <w:t>法制稽查组负责课件制作、宣讲工作；办公室负责</w:t>
      </w:r>
      <w:r>
        <w:rPr>
          <w:rFonts w:hint="eastAsia" w:ascii="仿宋" w:hAnsi="仿宋" w:eastAsia="仿宋" w:cs="仿宋"/>
          <w:sz w:val="32"/>
          <w:szCs w:val="32"/>
          <w:lang w:val="en-US" w:eastAsia="zh-CN"/>
        </w:rPr>
        <w:t>后勤保障工作；其他监督组协助。</w:t>
      </w:r>
    </w:p>
    <w:p>
      <w:pPr>
        <w:numPr>
          <w:ilvl w:val="0"/>
          <w:numId w:val="0"/>
        </w:numPr>
        <w:ind w:firstLine="64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四、工作要求</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ascii="华文仿宋" w:hAnsi="华文仿宋" w:eastAsia="华文仿宋" w:cs="仿宋_GB2312"/>
          <w:sz w:val="32"/>
          <w:szCs w:val="32"/>
        </w:rPr>
      </w:pPr>
      <w:r>
        <w:rPr>
          <w:rFonts w:hint="eastAsia" w:ascii="楷体" w:hAnsi="楷体" w:eastAsia="楷体" w:cs="楷体"/>
          <w:b/>
          <w:kern w:val="0"/>
          <w:sz w:val="32"/>
          <w:szCs w:val="32"/>
          <w:lang w:val="en-US" w:eastAsia="zh-CN" w:bidi="ar-SA"/>
        </w:rPr>
        <w:t>（一）高度重视，周密组织。</w:t>
      </w:r>
      <w:r>
        <w:rPr>
          <w:rFonts w:hint="eastAsia" w:ascii="华文仿宋" w:hAnsi="华文仿宋" w:eastAsia="华文仿宋" w:cs="仿宋_GB2312"/>
          <w:sz w:val="32"/>
          <w:szCs w:val="32"/>
          <w:lang w:eastAsia="zh-CN"/>
        </w:rPr>
        <w:t>本次专项活动时间紧、任务重，</w:t>
      </w:r>
      <w:r>
        <w:rPr>
          <w:rFonts w:hint="eastAsia" w:ascii="华文仿宋" w:hAnsi="华文仿宋" w:eastAsia="华文仿宋" w:cs="仿宋_GB2312"/>
          <w:sz w:val="32"/>
          <w:szCs w:val="32"/>
        </w:rPr>
        <w:t>各</w:t>
      </w:r>
      <w:r>
        <w:rPr>
          <w:rFonts w:hint="eastAsia" w:ascii="华文仿宋" w:hAnsi="华文仿宋" w:eastAsia="华文仿宋" w:cs="仿宋_GB2312"/>
          <w:sz w:val="32"/>
          <w:szCs w:val="32"/>
          <w:lang w:eastAsia="zh-CN"/>
        </w:rPr>
        <w:t>组室务必</w:t>
      </w:r>
      <w:r>
        <w:rPr>
          <w:rFonts w:hint="eastAsia" w:ascii="华文仿宋" w:hAnsi="华文仿宋" w:eastAsia="华文仿宋" w:cs="仿宋_GB2312"/>
          <w:sz w:val="32"/>
          <w:szCs w:val="32"/>
        </w:rPr>
        <w:t>要高度重视</w:t>
      </w:r>
      <w:r>
        <w:rPr>
          <w:rFonts w:ascii="仿宋" w:hAnsi="仿宋" w:eastAsia="仿宋" w:cs="宋体"/>
          <w:kern w:val="0"/>
          <w:sz w:val="32"/>
          <w:szCs w:val="32"/>
        </w:rPr>
        <w:t>，明确</w:t>
      </w:r>
      <w:r>
        <w:rPr>
          <w:rFonts w:hint="eastAsia" w:ascii="仿宋" w:hAnsi="仿宋" w:eastAsia="仿宋" w:cs="宋体"/>
          <w:kern w:val="0"/>
          <w:sz w:val="32"/>
          <w:szCs w:val="32"/>
          <w:lang w:eastAsia="zh-CN"/>
        </w:rPr>
        <w:t>自身</w:t>
      </w:r>
      <w:r>
        <w:rPr>
          <w:rFonts w:ascii="仿宋" w:hAnsi="仿宋" w:eastAsia="仿宋" w:cs="宋体"/>
          <w:kern w:val="0"/>
          <w:sz w:val="32"/>
          <w:szCs w:val="32"/>
        </w:rPr>
        <w:t>工作</w:t>
      </w:r>
      <w:r>
        <w:rPr>
          <w:rFonts w:hint="eastAsia" w:ascii="仿宋" w:hAnsi="仿宋" w:eastAsia="仿宋" w:cs="宋体"/>
          <w:kern w:val="0"/>
          <w:sz w:val="32"/>
          <w:szCs w:val="32"/>
          <w:lang w:eastAsia="zh-CN"/>
        </w:rPr>
        <w:t>任务和重点</w:t>
      </w:r>
      <w:r>
        <w:rPr>
          <w:rFonts w:ascii="仿宋" w:hAnsi="仿宋" w:eastAsia="仿宋" w:cs="宋体"/>
          <w:kern w:val="0"/>
          <w:sz w:val="32"/>
          <w:szCs w:val="32"/>
        </w:rPr>
        <w:t>，</w:t>
      </w:r>
      <w:r>
        <w:rPr>
          <w:rFonts w:hint="eastAsia" w:ascii="仿宋" w:hAnsi="仿宋" w:eastAsia="仿宋" w:cs="宋体"/>
          <w:kern w:val="0"/>
          <w:sz w:val="32"/>
          <w:szCs w:val="32"/>
          <w:lang w:eastAsia="zh-CN"/>
        </w:rPr>
        <w:t>周密细致安排工作进度，</w:t>
      </w:r>
      <w:r>
        <w:rPr>
          <w:rFonts w:ascii="仿宋" w:hAnsi="仿宋" w:eastAsia="仿宋" w:cs="宋体"/>
          <w:kern w:val="0"/>
          <w:sz w:val="32"/>
          <w:szCs w:val="32"/>
        </w:rPr>
        <w:t>确保</w:t>
      </w:r>
      <w:r>
        <w:rPr>
          <w:rFonts w:hint="eastAsia" w:ascii="仿宋" w:hAnsi="仿宋" w:eastAsia="仿宋" w:cs="宋体"/>
          <w:kern w:val="0"/>
          <w:sz w:val="32"/>
          <w:szCs w:val="32"/>
          <w:lang w:eastAsia="zh-CN"/>
        </w:rPr>
        <w:t>按时保质开展工作</w:t>
      </w:r>
      <w:r>
        <w:rPr>
          <w:rFonts w:ascii="仿宋" w:hAnsi="仿宋" w:eastAsia="仿宋" w:cs="宋体"/>
          <w:kern w:val="0"/>
          <w:sz w:val="32"/>
          <w:szCs w:val="32"/>
        </w:rPr>
        <w:t>。</w:t>
      </w:r>
    </w:p>
    <w:p>
      <w:pPr>
        <w:numPr>
          <w:ilvl w:val="0"/>
          <w:numId w:val="0"/>
        </w:numPr>
        <w:ind w:firstLine="640"/>
        <w:rPr>
          <w:rFonts w:hint="eastAsia" w:ascii="仿宋" w:hAnsi="仿宋" w:eastAsia="仿宋" w:cs="宋体"/>
          <w:kern w:val="0"/>
          <w:sz w:val="32"/>
          <w:szCs w:val="32"/>
          <w:lang w:val="en-US" w:eastAsia="zh-CN"/>
        </w:rPr>
      </w:pPr>
      <w:r>
        <w:rPr>
          <w:rFonts w:hint="eastAsia" w:ascii="楷体" w:hAnsi="楷体" w:eastAsia="楷体" w:cs="楷体"/>
          <w:sz w:val="32"/>
          <w:szCs w:val="32"/>
          <w:lang w:val="en-US" w:eastAsia="zh-CN"/>
        </w:rPr>
        <w:t>（二）</w:t>
      </w:r>
      <w:r>
        <w:rPr>
          <w:rFonts w:hint="eastAsia" w:ascii="楷体" w:hAnsi="楷体" w:eastAsia="楷体" w:cs="楷体"/>
          <w:b/>
          <w:bCs/>
          <w:sz w:val="32"/>
          <w:szCs w:val="32"/>
          <w:lang w:val="en-US" w:eastAsia="zh-CN"/>
        </w:rPr>
        <w:t>端正态度，认真学习。</w:t>
      </w:r>
      <w:r>
        <w:rPr>
          <w:rFonts w:hint="eastAsia" w:ascii="仿宋" w:hAnsi="仿宋" w:eastAsia="仿宋" w:cs="宋体"/>
          <w:kern w:val="0"/>
          <w:sz w:val="32"/>
          <w:szCs w:val="32"/>
          <w:lang w:val="en-US" w:eastAsia="zh-CN"/>
        </w:rPr>
        <w:t>近年随着新《食品安全法》及其配套规章制度陆续出台，整个食品安全监管法规体系有了巨大的变化。各组室工作人员要趁着本次活动，加大对新法制知识的学习力度，对自身掌握的法规知识进行“升级换代”，以满足日渐复杂的食品监管工作需求。</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hint="eastAsia" w:ascii="仿宋" w:hAnsi="仿宋" w:eastAsia="仿宋" w:cs="宋体"/>
          <w:kern w:val="0"/>
          <w:sz w:val="32"/>
          <w:szCs w:val="32"/>
          <w:lang w:val="en-US" w:eastAsia="zh-CN"/>
        </w:rPr>
      </w:pPr>
      <w:r>
        <w:rPr>
          <w:rFonts w:hint="eastAsia" w:ascii="楷体" w:hAnsi="楷体" w:eastAsia="楷体" w:cs="楷体"/>
          <w:b/>
          <w:kern w:val="0"/>
          <w:sz w:val="32"/>
          <w:szCs w:val="32"/>
          <w:lang w:val="en-US" w:eastAsia="zh-CN" w:bidi="ar-SA"/>
        </w:rPr>
        <w:t>（三）总结经验，探索机制。</w:t>
      </w:r>
      <w:r>
        <w:rPr>
          <w:rFonts w:hint="eastAsia" w:ascii="仿宋" w:hAnsi="仿宋" w:eastAsia="仿宋" w:cs="宋体"/>
          <w:kern w:val="0"/>
          <w:sz w:val="32"/>
          <w:szCs w:val="32"/>
          <w:lang w:val="en-US" w:eastAsia="zh-CN"/>
        </w:rPr>
        <w:t>食品安全法律知识宣传教育工作是食品安全监管体系中极其重要的一环，也是一项长期工作，必须要长抓不懈。各组室要从本次专项活动中总结经验，逐步探索建立长效机制，保障食品安全宣传教育工作落实到位。</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东莞市食品药品监督管理局莞城分局</w:t>
      </w:r>
    </w:p>
    <w:p>
      <w:pPr>
        <w:keepNext w:val="0"/>
        <w:keepLines w:val="0"/>
        <w:pageBreakBefore w:val="0"/>
        <w:kinsoku/>
        <w:wordWrap/>
        <w:overflowPunct/>
        <w:topLinePunct w:val="0"/>
        <w:autoSpaceDE/>
        <w:autoSpaceDN/>
        <w:bidi w:val="0"/>
        <w:adjustRightInd/>
        <w:spacing w:line="360" w:lineRule="auto"/>
        <w:ind w:left="0" w:leftChars="0" w:right="0" w:rightChars="0" w:firstLine="641"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2017年10月30日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华文仿宋">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Shell Dlg">
    <w:altName w:val="Microsoft Sans Serif"/>
    <w:panose1 w:val="020B0604020202020204"/>
    <w:charset w:val="00"/>
    <w:family w:val="swiss"/>
    <w:pitch w:val="default"/>
    <w:sig w:usb0="00000000" w:usb1="00000000" w:usb2="00000008" w:usb3="00000000" w:csb0="000101FF" w:csb1="00000000"/>
  </w:font>
  <w:font w:name="方正黑体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auto"/>
    <w:pitch w:val="default"/>
    <w:sig w:usb0="00000000" w:usb1="00000000" w:usb2="00000010" w:usb3="00000000" w:csb0="00040000" w:csb1="00000000"/>
  </w:font>
  <w:font w:name="华文楷体">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汉仪太极体简">
    <w:panose1 w:val="02010604000101010101"/>
    <w:charset w:val="86"/>
    <w:family w:val="auto"/>
    <w:pitch w:val="default"/>
    <w:sig w:usb0="00000001" w:usb1="080E0800" w:usb2="00000002" w:usb3="00000000" w:csb0="00040000" w:csb1="00000000"/>
  </w:font>
  <w:font w:name="汉仪娃娃篆简">
    <w:panose1 w:val="02010604000101010101"/>
    <w:charset w:val="86"/>
    <w:family w:val="auto"/>
    <w:pitch w:val="default"/>
    <w:sig w:usb0="00000001" w:usb1="080E0800" w:usb2="00000002" w:usb3="00000000" w:csb0="00040000" w:csb1="00000000"/>
  </w:font>
  <w:font w:name="ＤＦ中太楷書体">
    <w:panose1 w:val="02010609010101010101"/>
    <w:charset w:val="80"/>
    <w:family w:val="auto"/>
    <w:pitch w:val="default"/>
    <w:sig w:usb0="00000001" w:usb1="08070000" w:usb2="00000010" w:usb3="00000000" w:csb0="00020000" w:csb1="00000000"/>
  </w:font>
  <w:font w:name="ＤＦ明朝体W5">
    <w:panose1 w:val="02010609010101010101"/>
    <w:charset w:val="80"/>
    <w:family w:val="auto"/>
    <w:pitch w:val="default"/>
    <w:sig w:usb0="00000001" w:usb1="08070000" w:usb2="00000010" w:usb3="00000000" w:csb0="0002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Gothic-EB">
    <w:panose1 w:val="02010609010101010101"/>
    <w:charset w:val="80"/>
    <w:family w:val="auto"/>
    <w:pitch w:val="default"/>
    <w:sig w:usb0="00000001" w:usb1="08070000" w:usb2="00000010" w:usb3="00000000" w:csb0="00020000"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91F5C"/>
    <w:rsid w:val="09891039"/>
    <w:rsid w:val="0A9C06A0"/>
    <w:rsid w:val="13F7196F"/>
    <w:rsid w:val="1B3836BA"/>
    <w:rsid w:val="1D397FF3"/>
    <w:rsid w:val="214465B2"/>
    <w:rsid w:val="25336060"/>
    <w:rsid w:val="282C55B5"/>
    <w:rsid w:val="301047A4"/>
    <w:rsid w:val="30413B89"/>
    <w:rsid w:val="39E56CFB"/>
    <w:rsid w:val="41F93E1D"/>
    <w:rsid w:val="47380C2F"/>
    <w:rsid w:val="502074E2"/>
    <w:rsid w:val="53141D25"/>
    <w:rsid w:val="538D27CE"/>
    <w:rsid w:val="5A040B80"/>
    <w:rsid w:val="6C966F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2017-11-09T08:12:57Z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