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东莞市食品药品监督管理局莞城分局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深入开展食品安全法律知识宣传教育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专项活动总结</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为深入开展食品安全法律知识宣传教育工作，促进我分局辖区社会</w:t>
      </w:r>
      <w:r>
        <w:rPr>
          <w:rFonts w:hint="eastAsia" w:ascii="仿宋" w:hAnsi="仿宋" w:eastAsia="仿宋" w:cs="仿宋"/>
          <w:sz w:val="32"/>
          <w:szCs w:val="32"/>
          <w:lang w:eastAsia="zh-CN"/>
        </w:rPr>
        <w:t>食品安全法治水平</w:t>
      </w:r>
      <w:r>
        <w:rPr>
          <w:rFonts w:hint="eastAsia" w:ascii="仿宋" w:hAnsi="仿宋" w:eastAsia="仿宋" w:cs="仿宋"/>
          <w:sz w:val="32"/>
          <w:szCs w:val="32"/>
          <w:lang w:val="en-US" w:eastAsia="zh-CN"/>
        </w:rPr>
        <w:t>，根据上级文件要求，我分局根据部门实际在2017年10月下旬至11月中上旬开展了一系列专项宣传教育活动，此次活动取得了实实在在的效果。现将有关事项总结如下：</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 xml:space="preserve">   一、加强领导，明确目标责任　</w:t>
      </w:r>
      <w:r>
        <w:rPr>
          <w:rFonts w:hint="eastAsia" w:ascii="仿宋" w:hAnsi="仿宋" w:eastAsia="仿宋" w:cs="仿宋"/>
          <w:sz w:val="32"/>
          <w:szCs w:val="32"/>
          <w:lang w:val="en-US" w:eastAsia="zh-CN"/>
        </w:rPr>
        <w:t>　</w:t>
      </w:r>
    </w:p>
    <w:p>
      <w:pPr>
        <w:keepNext w:val="0"/>
        <w:keepLines w:val="0"/>
        <w:widowControl w:val="0"/>
        <w:suppressLineNumbers w:val="0"/>
        <w:spacing w:before="0" w:beforeAutospacing="0" w:after="0" w:afterAutospacing="0" w:line="600" w:lineRule="exact"/>
        <w:ind w:right="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分局领导班子高度重视本次专项宣传教育活动，黎建雄局长多次召开工作会议研讨本次专项宣传教育活动内容细节，并迅速制定了《东莞市食品药品监督管理局莞城分局深入开展食品安全法律知识宣传教育专项活动实施方案》（</w:t>
      </w:r>
      <w:r>
        <w:rPr>
          <w:rFonts w:hint="eastAsia" w:ascii="仿宋_GB2312" w:hAnsi="宋体" w:eastAsia="仿宋_GB2312" w:cs="仿宋_GB2312"/>
          <w:color w:val="000000"/>
          <w:kern w:val="2"/>
          <w:sz w:val="32"/>
          <w:szCs w:val="32"/>
          <w:lang w:val="en-US" w:eastAsia="zh-CN" w:bidi="ar"/>
        </w:rPr>
        <w:t>莞城食药监〔2017〕5号</w:t>
      </w:r>
      <w:r>
        <w:rPr>
          <w:rFonts w:hint="eastAsia" w:ascii="仿宋" w:hAnsi="仿宋" w:eastAsia="仿宋" w:cs="仿宋"/>
          <w:sz w:val="32"/>
          <w:szCs w:val="32"/>
          <w:lang w:val="en-US" w:eastAsia="zh-CN"/>
        </w:rPr>
        <w:t>），层层分解工作任务落实到人，保证宣传教育活动的有序开展。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精心组织，全面开展专项活动。</w:t>
      </w:r>
    </w:p>
    <w:p>
      <w:pPr>
        <w:numPr>
          <w:ilvl w:val="0"/>
          <w:numId w:val="0"/>
        </w:numPr>
        <w:rPr>
          <w:rFonts w:hint="eastAsia" w:ascii="楷体" w:hAnsi="楷体" w:eastAsia="楷体" w:cs="楷体"/>
          <w:b/>
          <w:bCs/>
          <w:sz w:val="32"/>
          <w:szCs w:val="32"/>
          <w:lang w:val="en-US" w:eastAsia="zh-CN"/>
        </w:rPr>
      </w:pPr>
      <w:r>
        <w:rPr>
          <w:rFonts w:hint="eastAsia" w:ascii="仿宋" w:hAnsi="仿宋" w:eastAsia="仿宋" w:cs="仿宋"/>
          <w:sz w:val="32"/>
          <w:szCs w:val="32"/>
          <w:lang w:val="en-US" w:eastAsia="zh-CN"/>
        </w:rPr>
        <w:t xml:space="preserve">    </w:t>
      </w:r>
      <w:r>
        <w:rPr>
          <w:rFonts w:hint="eastAsia" w:ascii="楷体" w:hAnsi="楷体" w:eastAsia="楷体" w:cs="楷体"/>
          <w:b/>
          <w:bCs/>
          <w:sz w:val="32"/>
          <w:szCs w:val="32"/>
          <w:lang w:val="en-US" w:eastAsia="zh-CN"/>
        </w:rPr>
        <w:t>（一）开展食品安全法律知识考试</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根据工作方案安排，分局法制稽查组通过中国医药网等官方渠道搜集建立了考试题库及试卷，并将考试内容、相关法规等考试复习资料通过QQ群、微信群推送给分局参考人员，定期督促参考人员认真复习备考，以达到以考促学、提升人员法制水平的目的。11月13日下午分局正式开展2017年度食品安全法律知识考试，参考人员全部应考，平均分93.9分，显示分局工作人员已较好的掌握《食品安全法》及其配套法律法规内容。</w:t>
      </w:r>
    </w:p>
    <w:p>
      <w:pPr>
        <w:numPr>
          <w:ilvl w:val="0"/>
          <w:numId w:val="0"/>
        </w:numPr>
        <w:rPr>
          <w:rFonts w:hint="eastAsia" w:ascii="楷体" w:hAnsi="楷体" w:eastAsia="楷体" w:cs="楷体"/>
          <w:b/>
          <w:bCs/>
          <w:sz w:val="32"/>
          <w:szCs w:val="32"/>
          <w:lang w:val="en-US" w:eastAsia="zh-CN"/>
        </w:rPr>
      </w:pPr>
      <w:r>
        <w:rPr>
          <w:rFonts w:hint="eastAsia" w:ascii="仿宋" w:hAnsi="仿宋" w:eastAsia="仿宋" w:cs="仿宋"/>
          <w:sz w:val="32"/>
          <w:szCs w:val="32"/>
          <w:lang w:val="en-US" w:eastAsia="zh-CN"/>
        </w:rPr>
        <w:t xml:space="preserve">   </w:t>
      </w:r>
      <w:r>
        <w:rPr>
          <w:rFonts w:hint="eastAsia" w:ascii="楷体" w:hAnsi="楷体" w:eastAsia="楷体" w:cs="楷体"/>
          <w:b/>
          <w:bCs/>
          <w:sz w:val="32"/>
          <w:szCs w:val="32"/>
          <w:lang w:val="en-US" w:eastAsia="zh-CN"/>
        </w:rPr>
        <w:t>（二）开展户外食品安全法宣传活动</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我分局结合食品药品安全进社区工作及示范市场创建工作，于10月下旬选取了辖区内人流量较大的光明市场、细村市场以现场讲解、发放宣传资料、有奖问答等方式各开展了一期户外食品安全法宣传活动。活动中我分局现场解答群众咨询约30余人次，发放宣传资料500余份，取得了良好的社会宣传效果。</w:t>
      </w:r>
    </w:p>
    <w:p>
      <w:pPr>
        <w:numPr>
          <w:ilvl w:val="0"/>
          <w:numId w:val="0"/>
        </w:numPr>
        <w:ind w:firstLine="640"/>
        <w:rPr>
          <w:rFonts w:hint="eastAsia" w:ascii="楷体" w:hAnsi="楷体" w:eastAsia="楷体" w:cs="楷体"/>
          <w:b/>
          <w:bCs/>
          <w:sz w:val="32"/>
          <w:szCs w:val="32"/>
          <w:lang w:val="en-US" w:eastAsia="zh-CN"/>
        </w:rPr>
      </w:pPr>
      <w:r>
        <w:rPr>
          <w:rFonts w:hint="eastAsia" w:ascii="仿宋" w:hAnsi="仿宋" w:eastAsia="仿宋" w:cs="仿宋"/>
          <w:sz w:val="32"/>
          <w:szCs w:val="32"/>
          <w:lang w:val="en-US" w:eastAsia="zh-CN"/>
        </w:rPr>
        <w:t>（三）</w:t>
      </w:r>
      <w:r>
        <w:rPr>
          <w:rFonts w:hint="eastAsia" w:ascii="楷体" w:hAnsi="楷体" w:eastAsia="楷体" w:cs="楷体"/>
          <w:b/>
          <w:bCs/>
          <w:sz w:val="32"/>
          <w:szCs w:val="32"/>
          <w:lang w:val="en-US" w:eastAsia="zh-CN"/>
        </w:rPr>
        <w:t>开展食品安全法宣传讲座</w:t>
      </w:r>
    </w:p>
    <w:p>
      <w:pPr>
        <w:numPr>
          <w:ilvl w:val="0"/>
          <w:numId w:val="0"/>
        </w:numPr>
        <w:ind w:firstLine="640"/>
        <w:rPr>
          <w:rFonts w:hint="eastAsia" w:ascii="楷体" w:hAnsi="楷体" w:eastAsia="楷体" w:cs="楷体"/>
          <w:b w:val="0"/>
          <w:bCs w:val="0"/>
          <w:sz w:val="32"/>
          <w:szCs w:val="32"/>
          <w:lang w:val="en-US" w:eastAsia="zh-CN"/>
        </w:rPr>
      </w:pPr>
      <w:r>
        <w:rPr>
          <w:rFonts w:hint="eastAsia" w:ascii="仿宋" w:hAnsi="仿宋" w:eastAsia="仿宋" w:cs="仿宋"/>
          <w:sz w:val="32"/>
          <w:szCs w:val="32"/>
          <w:lang w:val="en-US" w:eastAsia="zh-CN"/>
        </w:rPr>
        <w:t xml:space="preserve"> 2017年11月3日，我分局选取了近年分局查获的典型食品安全</w:t>
      </w:r>
      <w:bookmarkStart w:id="0" w:name="_GoBack"/>
      <w:bookmarkEnd w:id="0"/>
      <w:r>
        <w:rPr>
          <w:rFonts w:hint="eastAsia" w:ascii="仿宋" w:hAnsi="仿宋" w:eastAsia="仿宋" w:cs="仿宋"/>
          <w:sz w:val="32"/>
          <w:szCs w:val="32"/>
          <w:lang w:val="en-US" w:eastAsia="zh-CN"/>
        </w:rPr>
        <w:t>案例，召集万科城市中心广场内食品经营者开展了一期“食品安全以案说法”讲座。万科城市中心广场内共51家食品经营者全部参加了培训，且均能积极参与到培训互动中去，现场培训学习氛围十分浓烈。</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楷体" w:hAnsi="楷体" w:eastAsia="楷体" w:cs="楷体"/>
          <w:b/>
          <w:bCs/>
          <w:sz w:val="32"/>
          <w:szCs w:val="32"/>
          <w:lang w:val="en-US" w:eastAsia="zh-CN"/>
        </w:rPr>
        <w:t xml:space="preserve">  三、主要成效</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食品安全法律知识宣传教育专项活动，活动内容丰富，形式多样，取得了明显成效。主要体现在：一是分局领导干部带头学法，有效营造了分局浓厚的学法氛围；二是工作人员能将学与用有机结合起来，法律素质明显提高；三是创新了法制宣传的形式，载体多，内容多，群众反响良好。</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总的来看，我分局本次食品安全法律知识宣传教育专项活动成效明显，但因活动时间较为紧促，未能充分发掘电视、网络等宣传渠道进一步扩大活动影响力，宣传教育活动的面仍然不够广泛。在下步工作中，我分局将采取更加有力措施，继续深入开展食品安全法律知识宣传教育工作。</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br w:type="textWrapping"/>
      </w:r>
    </w:p>
    <w:p>
      <w:pPr>
        <w:numPr>
          <w:ilvl w:val="0"/>
          <w:numId w:val="0"/>
        </w:numPr>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pacing w:line="360" w:lineRule="auto"/>
        <w:ind w:right="0" w:rightChars="0"/>
        <w:textAlignment w:val="auto"/>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东莞市食品药品监督管理局莞城分局</w:t>
      </w:r>
    </w:p>
    <w:p>
      <w:pPr>
        <w:keepNext w:val="0"/>
        <w:keepLines w:val="0"/>
        <w:pageBreakBefore w:val="0"/>
        <w:kinsoku/>
        <w:wordWrap/>
        <w:overflowPunct/>
        <w:topLinePunct w:val="0"/>
        <w:autoSpaceDE/>
        <w:autoSpaceDN/>
        <w:bidi w:val="0"/>
        <w:adjustRightInd/>
        <w:spacing w:line="360" w:lineRule="auto"/>
        <w:ind w:left="0" w:leftChars="0" w:right="0" w:rightChars="0" w:firstLine="641" w:firstLineChars="200"/>
        <w:textAlignment w:val="auto"/>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2017年11月15日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altName w:val="微软雅黑"/>
    <w:panose1 w:val="02010601030101010101"/>
    <w:charset w:val="86"/>
    <w:family w:val="script"/>
    <w:pitch w:val="default"/>
    <w:sig w:usb0="00000000" w:usb1="00000000" w:usb2="00000000" w:usb3="00000000" w:csb0="00040000" w:csb1="00000000"/>
  </w:font>
  <w:font w:name="华康简标题宋">
    <w:altName w:val="宋体"/>
    <w:panose1 w:val="0201060900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华文楷体">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auto"/>
    <w:pitch w:val="default"/>
    <w:sig w:usb0="E0002AFF" w:usb1="C0007843" w:usb2="00000009" w:usb3="00000000" w:csb0="400001FF" w:csb1="FFFF0000"/>
  </w:font>
  <w:font w:name="华文仿宋">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MS Shell Dlg">
    <w:altName w:val="Microsoft Sans Serif"/>
    <w:panose1 w:val="020B0604020202020204"/>
    <w:charset w:val="00"/>
    <w:family w:val="swiss"/>
    <w:pitch w:val="default"/>
    <w:sig w:usb0="00000000" w:usb1="00000000" w:usb2="00000008" w:usb3="00000000" w:csb0="000101FF" w:csb1="00000000"/>
  </w:font>
  <w:font w:name="方正黑体简体">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Microsoft Sans Serif">
    <w:panose1 w:val="020B0604020202020204"/>
    <w:charset w:val="00"/>
    <w:family w:val="auto"/>
    <w:pitch w:val="default"/>
    <w:sig w:usb0="E1002AFF" w:usb1="C0000002" w:usb2="00000008" w:usb3="00000000" w:csb0="200101FF" w:csb1="20280000"/>
  </w:font>
  <w:font w:name="楷体">
    <w:panose1 w:val="02010609060101010101"/>
    <w:charset w:val="86"/>
    <w:family w:val="auto"/>
    <w:pitch w:val="default"/>
    <w:sig w:usb0="800002BF" w:usb1="38CF7CFA" w:usb2="00000016" w:usb3="00000000" w:csb0="00040001" w:csb1="00000000"/>
  </w:font>
  <w:font w:name="方正仿宋简体">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书宋简体">
    <w:altName w:val="宋体"/>
    <w:panose1 w:val="00000000000000000000"/>
    <w:charset w:val="86"/>
    <w:family w:val="auto"/>
    <w:pitch w:val="default"/>
    <w:sig w:usb0="00000000" w:usb1="00000000" w:usb2="00000010" w:usb3="00000000" w:csb0="00040000" w:csb1="00000000"/>
  </w:font>
  <w:font w:name="华文楷体">
    <w:altName w:val="宋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汉仪太极体简">
    <w:altName w:val="宋体"/>
    <w:panose1 w:val="02010604000101010101"/>
    <w:charset w:val="86"/>
    <w:family w:val="auto"/>
    <w:pitch w:val="default"/>
    <w:sig w:usb0="00000000" w:usb1="00000000" w:usb2="00000002" w:usb3="00000000" w:csb0="00040000" w:csb1="00000000"/>
  </w:font>
  <w:font w:name="汉仪娃娃篆简">
    <w:altName w:val="宋体"/>
    <w:panose1 w:val="02010604000101010101"/>
    <w:charset w:val="86"/>
    <w:family w:val="auto"/>
    <w:pitch w:val="default"/>
    <w:sig w:usb0="00000000" w:usb1="00000000" w:usb2="00000002" w:usb3="00000000" w:csb0="00040000" w:csb1="00000000"/>
  </w:font>
  <w:font w:name="ＤＦ中太楷書体">
    <w:altName w:val="宋体"/>
    <w:panose1 w:val="02010609010101010101"/>
    <w:charset w:val="80"/>
    <w:family w:val="auto"/>
    <w:pitch w:val="default"/>
    <w:sig w:usb0="00000000" w:usb1="00000000" w:usb2="00000010" w:usb3="00000000" w:csb0="00020000" w:csb1="00000000"/>
  </w:font>
  <w:font w:name="ＤＦ明朝体W5">
    <w:altName w:val="MS UI Gothic"/>
    <w:panose1 w:val="02010609010101010101"/>
    <w:charset w:val="80"/>
    <w:family w:val="auto"/>
    <w:pitch w:val="default"/>
    <w:sig w:usb0="00000000" w:usb1="00000000" w:usb2="00000010" w:usb3="00000000" w:csb0="0002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Gothic-EB">
    <w:altName w:val="MS UI Gothic"/>
    <w:panose1 w:val="02010609010101010101"/>
    <w:charset w:val="80"/>
    <w:family w:val="auto"/>
    <w:pitch w:val="default"/>
    <w:sig w:usb0="00000000" w:usb1="00000000" w:usb2="00000010" w:usb3="00000000" w:csb0="00020000" w:csb1="00000000"/>
  </w:font>
  <w:font w:name="@方正小标宋简体">
    <w:altName w:val="宋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黑体">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MS UI 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BF308"/>
    <w:multiLevelType w:val="singleLevel"/>
    <w:tmpl w:val="5A0BF308"/>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285BFA"/>
    <w:rsid w:val="0B3B3D42"/>
    <w:rsid w:val="0E1E59BD"/>
    <w:rsid w:val="12813CD2"/>
    <w:rsid w:val="24B40537"/>
    <w:rsid w:val="4E1112D1"/>
    <w:rsid w:val="535404F3"/>
    <w:rsid w:val="549016A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2017-11-15T09:11:56Z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