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7A3" w:rsidRPr="004067A3" w:rsidRDefault="004067A3" w:rsidP="004067A3">
      <w:pPr>
        <w:tabs>
          <w:tab w:val="left" w:pos="7200"/>
          <w:tab w:val="left" w:pos="7380"/>
          <w:tab w:val="left" w:pos="7560"/>
        </w:tabs>
        <w:spacing w:line="520" w:lineRule="exact"/>
        <w:rPr>
          <w:rFonts w:eastAsia="黑体"/>
          <w:sz w:val="32"/>
          <w:szCs w:val="32"/>
        </w:rPr>
      </w:pPr>
      <w:r w:rsidRPr="004067A3">
        <w:rPr>
          <w:rFonts w:eastAsia="黑体"/>
          <w:sz w:val="32"/>
          <w:szCs w:val="32"/>
        </w:rPr>
        <w:t>附件</w:t>
      </w:r>
    </w:p>
    <w:p w:rsidR="004067A3" w:rsidRPr="004067A3" w:rsidRDefault="004067A3" w:rsidP="004067A3">
      <w:pPr>
        <w:spacing w:line="520" w:lineRule="exact"/>
        <w:jc w:val="center"/>
        <w:rPr>
          <w:rFonts w:eastAsia="仿宋_GB2312"/>
          <w:sz w:val="32"/>
          <w:szCs w:val="32"/>
        </w:rPr>
      </w:pPr>
    </w:p>
    <w:p w:rsidR="004067A3" w:rsidRPr="004067A3" w:rsidRDefault="004067A3" w:rsidP="004067A3">
      <w:pPr>
        <w:spacing w:line="520" w:lineRule="exact"/>
        <w:jc w:val="center"/>
        <w:rPr>
          <w:rFonts w:eastAsia="方正小标宋简体"/>
          <w:sz w:val="44"/>
          <w:szCs w:val="44"/>
        </w:rPr>
      </w:pPr>
      <w:bookmarkStart w:id="0" w:name="_Toc344475832"/>
      <w:bookmarkStart w:id="1" w:name="适用范围"/>
      <w:bookmarkStart w:id="2" w:name="现成软件"/>
      <w:bookmarkStart w:id="3" w:name="参考文献"/>
      <w:bookmarkStart w:id="4" w:name="_Toc344475834"/>
      <w:r w:rsidRPr="004067A3">
        <w:rPr>
          <w:rFonts w:eastAsia="方正小标宋简体"/>
          <w:sz w:val="44"/>
          <w:szCs w:val="44"/>
        </w:rPr>
        <w:t>移动医疗器械注册审查指导原则</w:t>
      </w:r>
    </w:p>
    <w:p w:rsidR="004067A3" w:rsidRPr="004067A3" w:rsidRDefault="004067A3" w:rsidP="004067A3">
      <w:pPr>
        <w:spacing w:line="520" w:lineRule="exact"/>
        <w:jc w:val="center"/>
        <w:rPr>
          <w:rFonts w:eastAsia="方正小标宋简体"/>
          <w:sz w:val="44"/>
          <w:szCs w:val="44"/>
        </w:rPr>
      </w:pPr>
      <w:r w:rsidRPr="004067A3">
        <w:rPr>
          <w:rFonts w:eastAsia="方正小标宋简体"/>
          <w:sz w:val="44"/>
          <w:szCs w:val="44"/>
        </w:rPr>
        <w:t>（</w:t>
      </w:r>
      <w:r w:rsidRPr="004067A3">
        <w:rPr>
          <w:rFonts w:eastAsia="方正小标宋简体"/>
          <w:sz w:val="44"/>
          <w:szCs w:val="44"/>
        </w:rPr>
        <w:t>2025</w:t>
      </w:r>
      <w:r w:rsidRPr="004067A3">
        <w:rPr>
          <w:rFonts w:eastAsia="方正小标宋简体"/>
          <w:sz w:val="44"/>
          <w:szCs w:val="44"/>
        </w:rPr>
        <w:t>年修订版</w:t>
      </w:r>
      <w:bookmarkStart w:id="5" w:name="_GoBack"/>
      <w:bookmarkEnd w:id="5"/>
      <w:r w:rsidRPr="004067A3">
        <w:rPr>
          <w:rFonts w:eastAsia="方正小标宋简体"/>
          <w:sz w:val="44"/>
          <w:szCs w:val="44"/>
        </w:rPr>
        <w:t>）</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p>
    <w:p w:rsidR="004067A3" w:rsidRPr="004067A3" w:rsidRDefault="004067A3" w:rsidP="004067A3">
      <w:pPr>
        <w:pStyle w:val="Default"/>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本指导原则旨在指导注册申请人准备移动医疗器械注册申报资料，同时规范移动医疗器械的技术审评要求，为移动医疗器械的体系核查提供参考。</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本指导原则是对移动医疗器械的一般要求，注册申请人需根据产品特性和风险程度确定本指导原则具体内容的适用性，若不适用详述理由。注册申请人也可采用其他满足法规要求的替代方法，但需提供详尽的研究资料。</w:t>
      </w:r>
    </w:p>
    <w:p w:rsidR="004067A3" w:rsidRPr="004067A3" w:rsidRDefault="004067A3" w:rsidP="004067A3">
      <w:pPr>
        <w:overflowPunct w:val="0"/>
        <w:spacing w:line="520" w:lineRule="exact"/>
        <w:ind w:firstLineChars="200" w:firstLine="640"/>
        <w:rPr>
          <w:rFonts w:eastAsia="仿宋_GB2312"/>
          <w:bCs/>
          <w:sz w:val="32"/>
          <w:szCs w:val="32"/>
        </w:rPr>
      </w:pPr>
      <w:r w:rsidRPr="004067A3">
        <w:rPr>
          <w:rFonts w:eastAsia="仿宋_GB2312"/>
          <w:bCs/>
          <w:sz w:val="32"/>
          <w:szCs w:val="32"/>
        </w:rPr>
        <w:t>本指导原则是在现行法规、强制性标准体系以及当前科技能力、认知水平下制定的，随着法规、强制性标准体系的不断完善以及科技能力、认知水平的不断发展，本指导原则相关内容也将适时调整。</w:t>
      </w:r>
    </w:p>
    <w:p w:rsidR="004067A3" w:rsidRPr="004067A3" w:rsidRDefault="004067A3" w:rsidP="004067A3">
      <w:pPr>
        <w:spacing w:line="520" w:lineRule="exact"/>
        <w:ind w:firstLineChars="200" w:firstLine="640"/>
        <w:rPr>
          <w:rFonts w:eastAsia="仿宋_GB2312"/>
          <w:bCs/>
          <w:sz w:val="32"/>
          <w:szCs w:val="32"/>
        </w:rPr>
      </w:pPr>
      <w:r w:rsidRPr="004067A3">
        <w:rPr>
          <w:rFonts w:eastAsia="仿宋_GB2312"/>
          <w:bCs/>
          <w:sz w:val="32"/>
          <w:szCs w:val="32"/>
        </w:rPr>
        <w:t>本指导原则作为注册申请人、审评人员和检查人员的指导性文件，</w:t>
      </w:r>
      <w:r w:rsidRPr="004067A3">
        <w:rPr>
          <w:rFonts w:eastAsia="仿宋_GB2312"/>
          <w:sz w:val="32"/>
          <w:szCs w:val="32"/>
        </w:rPr>
        <w:t>不包括审评审批所涉及的行政事项，</w:t>
      </w:r>
      <w:r w:rsidRPr="004067A3">
        <w:rPr>
          <w:rFonts w:eastAsia="仿宋_GB2312"/>
          <w:bCs/>
          <w:sz w:val="32"/>
          <w:szCs w:val="32"/>
        </w:rPr>
        <w:t>亦</w:t>
      </w:r>
      <w:r w:rsidRPr="004067A3">
        <w:rPr>
          <w:rFonts w:eastAsia="仿宋_GB2312"/>
          <w:sz w:val="32"/>
          <w:szCs w:val="32"/>
        </w:rPr>
        <w:t>不作为法规强制执行，</w:t>
      </w:r>
      <w:r w:rsidRPr="004067A3">
        <w:rPr>
          <w:rFonts w:eastAsia="仿宋_GB2312"/>
          <w:bCs/>
          <w:sz w:val="32"/>
          <w:szCs w:val="32"/>
        </w:rPr>
        <w:t>应在符合法规要求的前提下使用本指导原则。</w:t>
      </w:r>
    </w:p>
    <w:p w:rsidR="004067A3" w:rsidRPr="004067A3" w:rsidRDefault="004067A3" w:rsidP="004067A3">
      <w:pPr>
        <w:overflowPunct w:val="0"/>
        <w:spacing w:line="520" w:lineRule="exact"/>
        <w:ind w:firstLineChars="200" w:firstLine="640"/>
        <w:rPr>
          <w:rFonts w:eastAsia="仿宋_GB2312"/>
          <w:sz w:val="32"/>
          <w:szCs w:val="32"/>
        </w:rPr>
      </w:pPr>
      <w:r w:rsidRPr="004067A3">
        <w:rPr>
          <w:rFonts w:eastAsia="仿宋_GB2312"/>
          <w:bCs/>
          <w:sz w:val="32"/>
          <w:szCs w:val="32"/>
        </w:rPr>
        <w:t>本指导原则是数字医疗（</w:t>
      </w:r>
      <w:r w:rsidRPr="004067A3">
        <w:rPr>
          <w:rFonts w:eastAsia="仿宋_GB2312"/>
          <w:bCs/>
          <w:sz w:val="32"/>
          <w:szCs w:val="32"/>
        </w:rPr>
        <w:t>Digital Health</w:t>
      </w:r>
      <w:r w:rsidRPr="004067A3">
        <w:rPr>
          <w:rFonts w:eastAsia="仿宋_GB2312"/>
          <w:bCs/>
          <w:sz w:val="32"/>
          <w:szCs w:val="32"/>
        </w:rPr>
        <w:t>）指导原则体系的重要组成部分，亦是医疗器械软件指导原则的补充，采用和</w:t>
      </w:r>
      <w:r w:rsidRPr="004067A3">
        <w:rPr>
          <w:rFonts w:eastAsia="仿宋_GB2312"/>
          <w:sz w:val="32"/>
          <w:szCs w:val="32"/>
        </w:rPr>
        <w:t>遵循医疗器械软件、医疗器械网络安全、人工智能医疗器械、医疗器械人因设计等相关指导原则的概念和要求。</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本指导原则是移动医疗器械的通用指导原则，其他采用移动计算技术的医疗器械指导原则可在本指导原则基础上进行有</w:t>
      </w:r>
      <w:r w:rsidRPr="004067A3">
        <w:rPr>
          <w:rFonts w:ascii="Times New Roman" w:eastAsia="仿宋_GB2312" w:cs="Times New Roman"/>
          <w:bCs/>
          <w:color w:val="auto"/>
          <w:sz w:val="32"/>
          <w:szCs w:val="32"/>
        </w:rPr>
        <w:lastRenderedPageBreak/>
        <w:t>针对性的调整、修改和完善。</w:t>
      </w:r>
    </w:p>
    <w:p w:rsidR="004067A3" w:rsidRPr="004067A3" w:rsidRDefault="004067A3" w:rsidP="004067A3">
      <w:pPr>
        <w:overflowPunct w:val="0"/>
        <w:spacing w:line="520" w:lineRule="exact"/>
        <w:ind w:firstLineChars="200" w:firstLine="640"/>
        <w:rPr>
          <w:rFonts w:eastAsia="黑体"/>
          <w:bCs/>
          <w:sz w:val="32"/>
          <w:szCs w:val="32"/>
        </w:rPr>
      </w:pPr>
      <w:r w:rsidRPr="004067A3">
        <w:rPr>
          <w:rFonts w:eastAsia="黑体"/>
          <w:bCs/>
          <w:sz w:val="32"/>
          <w:szCs w:val="32"/>
        </w:rPr>
        <w:t>一、适用范围</w:t>
      </w:r>
      <w:bookmarkEnd w:id="0"/>
      <w:bookmarkEnd w:id="1"/>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本指导原则适用于移动医疗器械的注册申报，包括第二类、第三类医疗器械</w:t>
      </w:r>
      <w:r w:rsidRPr="004067A3">
        <w:rPr>
          <w:rFonts w:ascii="Times New Roman" w:eastAsia="仿宋_GB2312" w:cs="Times New Roman"/>
          <w:sz w:val="32"/>
          <w:szCs w:val="32"/>
        </w:rPr>
        <w:t>（包括体外诊断医疗器械）</w:t>
      </w:r>
      <w:r w:rsidRPr="004067A3">
        <w:rPr>
          <w:rFonts w:ascii="Times New Roman" w:eastAsia="仿宋_GB2312" w:cs="Times New Roman"/>
          <w:bCs/>
          <w:color w:val="auto"/>
          <w:sz w:val="32"/>
          <w:szCs w:val="32"/>
        </w:rPr>
        <w:t>。</w:t>
      </w:r>
    </w:p>
    <w:p w:rsidR="004067A3" w:rsidRPr="004067A3" w:rsidRDefault="004067A3" w:rsidP="004067A3">
      <w:pPr>
        <w:overflowPunct w:val="0"/>
        <w:spacing w:line="520" w:lineRule="exact"/>
        <w:ind w:firstLineChars="200" w:firstLine="640"/>
        <w:rPr>
          <w:rFonts w:eastAsia="仿宋_GB2312"/>
          <w:bCs/>
          <w:sz w:val="32"/>
          <w:szCs w:val="32"/>
        </w:rPr>
      </w:pPr>
      <w:r w:rsidRPr="004067A3">
        <w:rPr>
          <w:rFonts w:eastAsia="仿宋_GB2312"/>
          <w:sz w:val="32"/>
          <w:szCs w:val="32"/>
        </w:rPr>
        <w:t>本指导原则也可用作移动医疗器械的体系核查参考。</w:t>
      </w:r>
    </w:p>
    <w:p w:rsidR="004067A3" w:rsidRPr="004067A3" w:rsidRDefault="004067A3" w:rsidP="004067A3">
      <w:pPr>
        <w:overflowPunct w:val="0"/>
        <w:spacing w:line="520" w:lineRule="exact"/>
        <w:ind w:firstLineChars="200" w:firstLine="640"/>
        <w:rPr>
          <w:rFonts w:eastAsia="黑体"/>
          <w:bCs/>
          <w:sz w:val="32"/>
          <w:szCs w:val="32"/>
        </w:rPr>
      </w:pPr>
      <w:r w:rsidRPr="004067A3">
        <w:rPr>
          <w:rFonts w:eastAsia="黑体"/>
          <w:bCs/>
          <w:sz w:val="32"/>
          <w:szCs w:val="32"/>
        </w:rPr>
        <w:t>二、主要概念</w:t>
      </w:r>
    </w:p>
    <w:p w:rsidR="004067A3" w:rsidRPr="004067A3" w:rsidRDefault="004067A3" w:rsidP="004067A3">
      <w:pPr>
        <w:overflowPunct w:val="0"/>
        <w:spacing w:line="520" w:lineRule="exact"/>
        <w:ind w:firstLineChars="200" w:firstLine="640"/>
        <w:rPr>
          <w:rFonts w:eastAsia="楷体_GB2312"/>
          <w:sz w:val="32"/>
          <w:szCs w:val="32"/>
        </w:rPr>
      </w:pPr>
      <w:r w:rsidRPr="004067A3">
        <w:rPr>
          <w:rFonts w:eastAsia="楷体_GB2312"/>
          <w:sz w:val="32"/>
          <w:szCs w:val="32"/>
        </w:rPr>
        <w:t>（一）移动医疗器械</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本指导原则所述</w:t>
      </w:r>
      <w:r w:rsidRPr="004067A3">
        <w:rPr>
          <w:rFonts w:ascii="Times New Roman" w:eastAsia="仿宋_GB2312" w:cs="Times New Roman"/>
          <w:bCs/>
          <w:color w:val="auto"/>
          <w:sz w:val="32"/>
          <w:szCs w:val="32"/>
        </w:rPr>
        <w:t>“</w:t>
      </w:r>
      <w:r w:rsidRPr="004067A3">
        <w:rPr>
          <w:rFonts w:ascii="Times New Roman" w:eastAsia="仿宋_GB2312" w:cs="Times New Roman"/>
          <w:bCs/>
          <w:color w:val="auto"/>
          <w:sz w:val="32"/>
          <w:szCs w:val="32"/>
        </w:rPr>
        <w:t>移动医疗器械</w:t>
      </w:r>
      <w:r w:rsidRPr="004067A3">
        <w:rPr>
          <w:rFonts w:ascii="Times New Roman" w:eastAsia="仿宋_GB2312" w:cs="Times New Roman"/>
          <w:bCs/>
          <w:color w:val="auto"/>
          <w:sz w:val="32"/>
          <w:szCs w:val="32"/>
        </w:rPr>
        <w:t>”</w:t>
      </w:r>
      <w:r w:rsidRPr="004067A3">
        <w:rPr>
          <w:rFonts w:ascii="Times New Roman" w:eastAsia="仿宋_GB2312" w:cs="Times New Roman"/>
          <w:bCs/>
          <w:color w:val="auto"/>
          <w:sz w:val="32"/>
          <w:szCs w:val="32"/>
        </w:rPr>
        <w:t>是指采用移动计算技术实现其预期用途的医疗器械，即采用无创</w:t>
      </w:r>
      <w:r w:rsidRPr="004067A3">
        <w:rPr>
          <w:rFonts w:ascii="Times New Roman" w:eastAsia="仿宋_GB2312" w:cs="Times New Roman"/>
          <w:bCs/>
          <w:color w:val="auto"/>
          <w:sz w:val="32"/>
          <w:szCs w:val="32"/>
        </w:rPr>
        <w:t>“</w:t>
      </w:r>
      <w:r w:rsidRPr="004067A3">
        <w:rPr>
          <w:rFonts w:ascii="Times New Roman" w:eastAsia="仿宋_GB2312" w:cs="Times New Roman"/>
          <w:bCs/>
          <w:color w:val="auto"/>
          <w:sz w:val="32"/>
          <w:szCs w:val="32"/>
        </w:rPr>
        <w:t>移动计算终端</w:t>
      </w:r>
      <w:r w:rsidRPr="004067A3">
        <w:rPr>
          <w:rFonts w:ascii="Times New Roman" w:eastAsia="仿宋_GB2312" w:cs="Times New Roman"/>
          <w:bCs/>
          <w:color w:val="auto"/>
          <w:sz w:val="32"/>
          <w:szCs w:val="32"/>
        </w:rPr>
        <w:t>”</w:t>
      </w:r>
      <w:r w:rsidRPr="004067A3">
        <w:rPr>
          <w:rFonts w:ascii="Times New Roman" w:eastAsia="仿宋_GB2312" w:cs="Times New Roman"/>
          <w:bCs/>
          <w:color w:val="auto"/>
          <w:sz w:val="32"/>
          <w:szCs w:val="32"/>
        </w:rPr>
        <w:t>实现一项或多项医疗用途的医疗器械</w:t>
      </w:r>
      <w:r w:rsidRPr="004067A3">
        <w:rPr>
          <w:rFonts w:ascii="Times New Roman" w:eastAsia="仿宋_GB2312" w:cs="Times New Roman"/>
          <w:bCs/>
          <w:color w:val="auto"/>
          <w:sz w:val="32"/>
          <w:szCs w:val="32"/>
          <w:vertAlign w:val="superscript"/>
        </w:rPr>
        <w:footnoteReference w:id="1"/>
      </w:r>
      <w:r w:rsidRPr="004067A3">
        <w:rPr>
          <w:rFonts w:ascii="Times New Roman" w:eastAsia="仿宋_GB2312" w:cs="Times New Roman"/>
          <w:bCs/>
          <w:color w:val="auto"/>
          <w:sz w:val="32"/>
          <w:szCs w:val="32"/>
        </w:rPr>
        <w:t>。</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w:t>
      </w:r>
      <w:r w:rsidRPr="004067A3">
        <w:rPr>
          <w:rFonts w:ascii="Times New Roman" w:eastAsia="仿宋_GB2312" w:cs="Times New Roman"/>
          <w:bCs/>
          <w:color w:val="auto"/>
          <w:sz w:val="32"/>
          <w:szCs w:val="32"/>
        </w:rPr>
        <w:t>移动计算终端</w:t>
      </w:r>
      <w:r w:rsidRPr="004067A3">
        <w:rPr>
          <w:rFonts w:ascii="Times New Roman" w:eastAsia="仿宋_GB2312" w:cs="Times New Roman"/>
          <w:bCs/>
          <w:color w:val="auto"/>
          <w:sz w:val="32"/>
          <w:szCs w:val="32"/>
        </w:rPr>
        <w:t>”</w:t>
      </w:r>
      <w:r w:rsidRPr="004067A3">
        <w:rPr>
          <w:rFonts w:ascii="Times New Roman" w:eastAsia="仿宋_GB2312" w:cs="Times New Roman"/>
          <w:bCs/>
          <w:color w:val="auto"/>
          <w:sz w:val="32"/>
          <w:szCs w:val="32"/>
        </w:rPr>
        <w:t>是指供医务人员、患者等个人使用的移动计算产品终端（通称智能终端），包括</w:t>
      </w:r>
      <w:r w:rsidRPr="004067A3">
        <w:rPr>
          <w:rFonts w:ascii="Times New Roman" w:eastAsia="仿宋_GB2312" w:cs="Times New Roman"/>
          <w:sz w:val="32"/>
          <w:szCs w:val="32"/>
        </w:rPr>
        <w:t>医用终端、通用终端。前者为注册申请人</w:t>
      </w:r>
      <w:r w:rsidRPr="004067A3">
        <w:rPr>
          <w:rFonts w:ascii="Times New Roman" w:eastAsia="仿宋_GB2312" w:cs="Times New Roman"/>
          <w:bCs/>
          <w:color w:val="auto"/>
          <w:sz w:val="32"/>
          <w:szCs w:val="32"/>
        </w:rPr>
        <w:t>自制或定制（不含外观改装）的终端，作为医用计算平台属于产品组成；后者为注册申请人采购的商业现成终端（含外观改装），作为通用计算平台不属于产品组成。</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移动计算终端使用形式可分为手持式（如平板计算机、便携式计算机、智能手机等）、穿戴式</w:t>
      </w:r>
      <w:r w:rsidRPr="004067A3">
        <w:rPr>
          <w:rFonts w:ascii="Times New Roman" w:eastAsia="仿宋_GB2312" w:cs="Times New Roman"/>
          <w:bCs/>
          <w:color w:val="auto"/>
          <w:sz w:val="32"/>
          <w:szCs w:val="32"/>
          <w:vertAlign w:val="superscript"/>
        </w:rPr>
        <w:footnoteReference w:id="2"/>
      </w:r>
      <w:r w:rsidRPr="004067A3">
        <w:rPr>
          <w:rFonts w:ascii="Times New Roman" w:eastAsia="仿宋_GB2312" w:cs="Times New Roman"/>
          <w:bCs/>
          <w:color w:val="auto"/>
          <w:sz w:val="32"/>
          <w:szCs w:val="32"/>
        </w:rPr>
        <w:t>（如智能眼镜、智能手表等）和混合式（手持式与穿戴式相结合）。</w:t>
      </w:r>
    </w:p>
    <w:p w:rsidR="004067A3" w:rsidRPr="004067A3" w:rsidRDefault="004067A3" w:rsidP="004067A3">
      <w:pPr>
        <w:overflowPunct w:val="0"/>
        <w:spacing w:line="520" w:lineRule="exact"/>
        <w:ind w:firstLineChars="200" w:firstLine="640"/>
        <w:rPr>
          <w:rFonts w:eastAsia="楷体_GB2312"/>
          <w:sz w:val="32"/>
          <w:szCs w:val="32"/>
        </w:rPr>
      </w:pPr>
      <w:r w:rsidRPr="004067A3">
        <w:rPr>
          <w:rFonts w:eastAsia="楷体_GB2312"/>
          <w:sz w:val="32"/>
          <w:szCs w:val="32"/>
        </w:rPr>
        <w:t>（二）移动医疗器械类型</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1.</w:t>
      </w:r>
      <w:r w:rsidRPr="004067A3">
        <w:rPr>
          <w:rFonts w:ascii="Times New Roman" w:eastAsia="仿宋_GB2312" w:cs="Times New Roman"/>
          <w:bCs/>
          <w:color w:val="auto"/>
          <w:sz w:val="32"/>
          <w:szCs w:val="32"/>
        </w:rPr>
        <w:t>移动医疗设备</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移动医疗设备是指采用医用或通用移动计算终端实现一项或多项医疗用途的医用电气设备。</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此类产品使用医用终端自带、外接（含无线连接）的传感器、显示屏等部件实现预期用途，或者使用通用终端外接（含无</w:t>
      </w:r>
      <w:r w:rsidRPr="004067A3">
        <w:rPr>
          <w:rFonts w:ascii="Times New Roman" w:eastAsia="仿宋_GB2312" w:cs="Times New Roman"/>
          <w:bCs/>
          <w:color w:val="auto"/>
          <w:sz w:val="32"/>
          <w:szCs w:val="32"/>
        </w:rPr>
        <w:lastRenderedPageBreak/>
        <w:t>线连接）的传感器实现预期用途，通常可用于实现或部分实现等效常规医疗器械（基于非移动计算终端）的预期用途、核心功能，如移动超声设备、移动动态心电记录仪等。</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2.</w:t>
      </w:r>
      <w:r w:rsidRPr="004067A3">
        <w:rPr>
          <w:rFonts w:ascii="Times New Roman" w:eastAsia="仿宋_GB2312" w:cs="Times New Roman"/>
          <w:bCs/>
          <w:color w:val="auto"/>
          <w:sz w:val="32"/>
          <w:szCs w:val="32"/>
        </w:rPr>
        <w:t>移动独立软件</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移动独立软件是指采用通用移动计算终端（含自带传感器）实现一项或多项医疗用途的独立软件。</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此类产品与等效常规独立软件相比，预期用途、核心功能基本相同，主要差异在于运行环境（即计算平台，含硬件配置、外部软件环境、网络条件，若适用亦含自带传感器）和使用环境不同，如移动医学图像处理软件、移动心电分析软件等。</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3.</w:t>
      </w:r>
      <w:r w:rsidRPr="004067A3">
        <w:rPr>
          <w:rFonts w:ascii="Times New Roman" w:eastAsia="仿宋_GB2312" w:cs="Times New Roman"/>
          <w:bCs/>
          <w:color w:val="auto"/>
          <w:sz w:val="32"/>
          <w:szCs w:val="32"/>
        </w:rPr>
        <w:t>移动医疗附件</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移动医疗附件是指作为医疗器械附件的通用或医用移动计算终端，又可细分为控制型和数据型。</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控制型移动医疗附件是指采用通用或医用移动计算终端控制医疗器械正常运行的附件，如运行于平板计算机上用于控制医学影像设备患者支撑装置运动的软件组件。控制型移动医疗附件作为医疗器械产品的组成部分不能单独实现预期用途，需随医疗器械产品整体注册。</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数据型移动医疗附件是指采用通用或医用移动计算终端与医疗器械进行电子数据交换的附件，如运行于平板计算机上用于接收、显示医学影像设备所采集医学图像的独立软件。数据型移动医疗附件可随医疗器械产品进行整体注册，若能独立实现其医疗用途也可单独注册，此时视为移动医疗设备（基于医用终端）或移动独立软件（基于通用终端）。</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移动计算终端若作为医疗器械产品实现预期用途所必需的</w:t>
      </w:r>
      <w:r w:rsidRPr="004067A3">
        <w:rPr>
          <w:rFonts w:ascii="Times New Roman" w:eastAsia="仿宋_GB2312" w:cs="Times New Roman"/>
          <w:bCs/>
          <w:color w:val="auto"/>
          <w:sz w:val="32"/>
          <w:szCs w:val="32"/>
        </w:rPr>
        <w:lastRenderedPageBreak/>
        <w:t>部件（如显示屏），则需随医疗器械产品整体注册，并参照移动医疗附件的适用要求。</w:t>
      </w:r>
    </w:p>
    <w:p w:rsidR="004067A3" w:rsidRPr="004067A3" w:rsidRDefault="004067A3" w:rsidP="004067A3">
      <w:pPr>
        <w:overflowPunct w:val="0"/>
        <w:spacing w:line="520" w:lineRule="exact"/>
        <w:ind w:firstLineChars="200" w:firstLine="640"/>
        <w:rPr>
          <w:rFonts w:eastAsia="楷体_GB2312"/>
          <w:sz w:val="32"/>
          <w:szCs w:val="32"/>
        </w:rPr>
      </w:pPr>
      <w:r w:rsidRPr="004067A3">
        <w:rPr>
          <w:rFonts w:eastAsia="楷体_GB2312"/>
          <w:sz w:val="32"/>
          <w:szCs w:val="32"/>
        </w:rPr>
        <w:t>（三）移动医疗器械判定原则</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采用移动计算终端实现非医疗用途的医疗器械不属于移动医疗器械。</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移动医疗器械与可转移医疗器械的概念不同，未采用移动计算终端的可转移医疗器械也不属于移动医疗器械，如自带轮子、安装于交通载具（如车载、船载、机载等）的医疗器械。</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移动医疗器械含有医疗器械软件组件，或本身即为医疗器械独立软件，不涉及医疗器械软件（含软件组件、独立软件）的可转移医疗器械亦不属于移动医疗器械。</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植入式和侵入式医疗器械具有特殊性，不纳入移动医疗器械范畴，若使用移动计算终端可参考本指导原则的适用要求。</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移动计算产品（含软件）原则上若具有医疗用途则属于移动医疗器械，故注册申请人可依据移动计算产品的预期用途、目标用户和核心功能进行综合判定，必要时申请医疗器械分类界定。</w:t>
      </w:r>
    </w:p>
    <w:p w:rsidR="004067A3" w:rsidRPr="004067A3" w:rsidRDefault="004067A3" w:rsidP="004067A3">
      <w:pPr>
        <w:overflowPunct w:val="0"/>
        <w:spacing w:line="520" w:lineRule="exact"/>
        <w:ind w:firstLineChars="200" w:firstLine="640"/>
        <w:rPr>
          <w:rFonts w:eastAsia="黑体"/>
          <w:bCs/>
          <w:sz w:val="32"/>
          <w:szCs w:val="32"/>
        </w:rPr>
      </w:pPr>
      <w:bookmarkStart w:id="6" w:name="软件描述文档"/>
      <w:r w:rsidRPr="004067A3">
        <w:rPr>
          <w:rFonts w:eastAsia="黑体"/>
          <w:bCs/>
          <w:sz w:val="32"/>
          <w:szCs w:val="32"/>
        </w:rPr>
        <w:t>三、基本原则</w:t>
      </w:r>
    </w:p>
    <w:p w:rsidR="004067A3" w:rsidRPr="004067A3" w:rsidRDefault="004067A3" w:rsidP="004067A3">
      <w:pPr>
        <w:overflowPunct w:val="0"/>
        <w:spacing w:line="520" w:lineRule="exact"/>
        <w:ind w:firstLineChars="200" w:firstLine="640"/>
        <w:rPr>
          <w:rFonts w:eastAsia="楷体_GB2312"/>
          <w:sz w:val="32"/>
          <w:szCs w:val="32"/>
        </w:rPr>
      </w:pPr>
      <w:r w:rsidRPr="004067A3">
        <w:rPr>
          <w:rFonts w:eastAsia="楷体_GB2312"/>
          <w:sz w:val="32"/>
          <w:szCs w:val="32"/>
        </w:rPr>
        <w:t>（一）基于技术特征</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移动医疗器械作为移动计算技术与医疗器械的交叉融合，通常用于实现或部分实现等效常规医疗器械的预期用途、核心功能。因此，移动医疗器械的安全有效性评价除参照等效常规医疗器械性能指标和风险管理要求之外，还需综合考虑移动计算终端的技术特征及其风险。</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本指导原则基于移动医疗器械的类型、预期用途、使用环境</w:t>
      </w:r>
      <w:r w:rsidRPr="004067A3">
        <w:rPr>
          <w:rFonts w:ascii="Times New Roman" w:eastAsia="仿宋_GB2312" w:cs="Times New Roman"/>
          <w:bCs/>
          <w:color w:val="auto"/>
          <w:sz w:val="32"/>
          <w:szCs w:val="32"/>
        </w:rPr>
        <w:lastRenderedPageBreak/>
        <w:t>和核心功能，以及所用移动计算终端的类型（通用终端、医用终端）和技术特征，重点关注移动医疗器械的风险管理要求。</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等效常规医疗器械的安全有效性评价要求详见相应医疗器械产品指导原则。医疗器械软件、医疗器械网络安全、人工智能医疗器械、医疗器械人因设计等通用要求详见相应数字医疗指导原则。</w:t>
      </w:r>
    </w:p>
    <w:p w:rsidR="004067A3" w:rsidRPr="004067A3" w:rsidRDefault="004067A3" w:rsidP="004067A3">
      <w:pPr>
        <w:overflowPunct w:val="0"/>
        <w:spacing w:line="520" w:lineRule="exact"/>
        <w:ind w:firstLineChars="200" w:firstLine="640"/>
        <w:rPr>
          <w:rFonts w:eastAsia="楷体_GB2312"/>
          <w:sz w:val="32"/>
          <w:szCs w:val="32"/>
        </w:rPr>
      </w:pPr>
      <w:r w:rsidRPr="004067A3">
        <w:rPr>
          <w:rFonts w:eastAsia="楷体_GB2312"/>
          <w:sz w:val="32"/>
          <w:szCs w:val="32"/>
        </w:rPr>
        <w:t>（二）风险导向</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移动医疗器械的风险管理通常需要综合考虑等效常规医疗器械和移动计算终端实现医疗用途的风险。具体而言，移动医疗设备考虑等效常规医疗器械的风险（如电气安全、生物相容性、清洁与消毒、稳定性等）和所用移动计算终端的风险，移动独立软件考虑等效常规独立软件风险和所用通用移动计算终端（若适用含自带传感器）的风险，控制型移动医疗附件结合医疗器械产品进行整体考虑，数据型移动医疗附件参照移动医疗设备或移动独立软件予以考虑。</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移动计算终端实现医疗用途的风险包括但不限于显示屏尺寸小、空间分辨率低、亮度低，使用环境易变、受环境光影响大，电池容量小、续航时间短，数据和信息泄露等，可能无法满足全部临床需求。通用终端与医用终端相比，其设计用途并非用于医疗用途，显示屏、传感器等部件的性能指标可能无法满足全部临床需求，同时通用终端的外部软件环境通常处于不受控状态，可能会导致产品非预期运行或不能正常运行，风险相对较高。此外，供非专业用户使用或在家庭环境使用的移动医疗器械还需结合人因设计基本原则考虑其使用风险。</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因此，注册申请人需根据医疗器械产品的预期用途、使用环</w:t>
      </w:r>
      <w:r w:rsidRPr="004067A3">
        <w:rPr>
          <w:rFonts w:ascii="Times New Roman" w:eastAsia="仿宋_GB2312" w:cs="Times New Roman"/>
          <w:bCs/>
          <w:color w:val="auto"/>
          <w:sz w:val="32"/>
          <w:szCs w:val="32"/>
        </w:rPr>
        <w:lastRenderedPageBreak/>
        <w:t>境和核心功能选取适宜的移动计算终端，并保证所用全部移动计算终端均能满足全部临床需求，且风险处于可接受水平。</w:t>
      </w:r>
    </w:p>
    <w:bookmarkEnd w:id="2"/>
    <w:bookmarkEnd w:id="6"/>
    <w:p w:rsidR="004067A3" w:rsidRPr="004067A3" w:rsidRDefault="004067A3" w:rsidP="004067A3">
      <w:pPr>
        <w:spacing w:line="520" w:lineRule="exact"/>
        <w:ind w:firstLineChars="200" w:firstLine="640"/>
        <w:outlineLvl w:val="1"/>
        <w:rPr>
          <w:rFonts w:eastAsia="楷体_GB2312"/>
          <w:sz w:val="32"/>
          <w:szCs w:val="32"/>
        </w:rPr>
      </w:pPr>
      <w:r w:rsidRPr="004067A3">
        <w:rPr>
          <w:rFonts w:eastAsia="楷体_GB2312"/>
          <w:sz w:val="32"/>
          <w:szCs w:val="32"/>
        </w:rPr>
        <w:t>（三）</w:t>
      </w:r>
      <w:bookmarkStart w:id="7" w:name="_Toc8738"/>
      <w:r w:rsidRPr="004067A3">
        <w:rPr>
          <w:rFonts w:eastAsia="楷体_GB2312"/>
          <w:sz w:val="32"/>
          <w:szCs w:val="32"/>
        </w:rPr>
        <w:t>全生命周期质控</w:t>
      </w:r>
      <w:bookmarkEnd w:id="7"/>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楷体_GB2312" w:cs="Times New Roman"/>
          <w:sz w:val="32"/>
          <w:szCs w:val="32"/>
        </w:rPr>
      </w:pPr>
      <w:r w:rsidRPr="004067A3">
        <w:rPr>
          <w:rFonts w:ascii="Times New Roman" w:eastAsia="仿宋_GB2312" w:cs="Times New Roman"/>
          <w:bCs/>
          <w:color w:val="auto"/>
          <w:sz w:val="32"/>
          <w:szCs w:val="32"/>
        </w:rPr>
        <w:t>移动医疗器械同样遵循医疗器械软件全生命周期质控要求，包括上市前、上市后</w:t>
      </w:r>
      <w:r w:rsidRPr="004067A3">
        <w:rPr>
          <w:rFonts w:ascii="Times New Roman" w:eastAsia="仿宋_GB2312" w:cs="Times New Roman"/>
          <w:sz w:val="32"/>
          <w:szCs w:val="32"/>
        </w:rPr>
        <w:t>等阶段</w:t>
      </w:r>
      <w:r w:rsidRPr="004067A3">
        <w:rPr>
          <w:rFonts w:ascii="Times New Roman" w:eastAsia="仿宋_GB2312" w:cs="Times New Roman"/>
          <w:bCs/>
          <w:color w:val="auto"/>
          <w:sz w:val="32"/>
          <w:szCs w:val="32"/>
        </w:rPr>
        <w:t>。</w:t>
      </w:r>
      <w:r w:rsidRPr="004067A3">
        <w:rPr>
          <w:rFonts w:ascii="Times New Roman" w:eastAsia="仿宋_GB2312" w:cs="Times New Roman"/>
          <w:sz w:val="32"/>
          <w:szCs w:val="32"/>
        </w:rPr>
        <w:t>上市前开展充分有效的验证与确认活动，识别可预见的风险并将其降至可接受水平。上市后继续开展质量保证工作，识别前期未预见的风险并采取必要控制措施。</w:t>
      </w:r>
    </w:p>
    <w:p w:rsidR="004067A3" w:rsidRPr="004067A3" w:rsidRDefault="004067A3" w:rsidP="004067A3">
      <w:pPr>
        <w:overflowPunct w:val="0"/>
        <w:spacing w:line="520" w:lineRule="exact"/>
        <w:ind w:firstLineChars="200" w:firstLine="640"/>
        <w:rPr>
          <w:rFonts w:eastAsia="黑体"/>
          <w:bCs/>
          <w:sz w:val="32"/>
          <w:szCs w:val="32"/>
        </w:rPr>
      </w:pPr>
      <w:r w:rsidRPr="004067A3">
        <w:rPr>
          <w:rFonts w:eastAsia="黑体"/>
          <w:bCs/>
          <w:sz w:val="32"/>
          <w:szCs w:val="32"/>
        </w:rPr>
        <w:t>四、技术考量</w:t>
      </w:r>
    </w:p>
    <w:p w:rsidR="004067A3" w:rsidRPr="004067A3" w:rsidRDefault="004067A3" w:rsidP="004067A3">
      <w:pPr>
        <w:overflowPunct w:val="0"/>
        <w:spacing w:line="520" w:lineRule="exact"/>
        <w:ind w:firstLineChars="200" w:firstLine="640"/>
        <w:rPr>
          <w:rFonts w:eastAsia="楷体_GB2312"/>
          <w:sz w:val="32"/>
          <w:szCs w:val="32"/>
        </w:rPr>
      </w:pPr>
      <w:r w:rsidRPr="004067A3">
        <w:rPr>
          <w:rFonts w:eastAsia="楷体_GB2312"/>
          <w:sz w:val="32"/>
          <w:szCs w:val="32"/>
        </w:rPr>
        <w:t>（一）产品名称</w:t>
      </w:r>
    </w:p>
    <w:p w:rsidR="004067A3" w:rsidRPr="004067A3" w:rsidRDefault="004067A3" w:rsidP="004067A3">
      <w:pPr>
        <w:overflowPunct w:val="0"/>
        <w:spacing w:line="520" w:lineRule="exact"/>
        <w:ind w:firstLineChars="200" w:firstLine="640"/>
        <w:rPr>
          <w:rFonts w:eastAsia="仿宋_GB2312"/>
          <w:sz w:val="32"/>
          <w:szCs w:val="32"/>
        </w:rPr>
      </w:pPr>
      <w:r w:rsidRPr="004067A3">
        <w:rPr>
          <w:rFonts w:eastAsia="仿宋_GB2312"/>
          <w:bCs/>
          <w:sz w:val="32"/>
          <w:szCs w:val="32"/>
        </w:rPr>
        <w:t>移动医疗设备和移动独立软件的产品名称需符合医疗器械通用名称相关要求，可用</w:t>
      </w:r>
      <w:r w:rsidRPr="004067A3">
        <w:rPr>
          <w:rFonts w:eastAsia="仿宋_GB2312"/>
          <w:bCs/>
          <w:sz w:val="32"/>
          <w:szCs w:val="32"/>
        </w:rPr>
        <w:t>“</w:t>
      </w:r>
      <w:r w:rsidRPr="004067A3">
        <w:rPr>
          <w:rFonts w:eastAsia="仿宋_GB2312"/>
          <w:bCs/>
          <w:sz w:val="32"/>
          <w:szCs w:val="32"/>
        </w:rPr>
        <w:t>移动</w:t>
      </w:r>
      <w:r w:rsidRPr="004067A3">
        <w:rPr>
          <w:rFonts w:eastAsia="仿宋_GB2312"/>
          <w:bCs/>
          <w:sz w:val="32"/>
          <w:szCs w:val="32"/>
        </w:rPr>
        <w:t>”</w:t>
      </w:r>
      <w:r w:rsidRPr="004067A3">
        <w:rPr>
          <w:rFonts w:eastAsia="仿宋_GB2312"/>
          <w:bCs/>
          <w:sz w:val="32"/>
          <w:szCs w:val="32"/>
        </w:rPr>
        <w:t>作为特征词。移动医疗附件可参照使用。</w:t>
      </w:r>
    </w:p>
    <w:p w:rsidR="004067A3" w:rsidRPr="004067A3" w:rsidRDefault="004067A3" w:rsidP="004067A3">
      <w:pPr>
        <w:overflowPunct w:val="0"/>
        <w:spacing w:line="520" w:lineRule="exact"/>
        <w:ind w:firstLineChars="200" w:firstLine="640"/>
        <w:rPr>
          <w:rFonts w:eastAsia="楷体_GB2312"/>
          <w:sz w:val="32"/>
          <w:szCs w:val="32"/>
        </w:rPr>
      </w:pPr>
      <w:r w:rsidRPr="004067A3">
        <w:rPr>
          <w:rFonts w:eastAsia="楷体_GB2312"/>
          <w:sz w:val="32"/>
          <w:szCs w:val="32"/>
        </w:rPr>
        <w:t>（二）显示屏限制</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移动医疗器械的类型和预期用途不同，临床风险也不同，对于显示屏的要求亦不同。以移动独立软件为例，辅助决策类软件的临床风险高于非辅助决策类软件，故前者对于显示屏的要求高于后者。</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原则上，移动医疗设备、控制型移动医疗附件关于显示屏的要求可参考等效常规医疗器械的相应要求，包括指导原则、标准等。移动独立软件、数据型移动医疗附件关于显示屏的要求可参考等效常规独立软件的相应要求。</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注册申请人需结合移动医疗器械的类型、预期用途、使用环境和核心功能，确定产品所用显示屏的性能指标要求，如屏幕尺寸、空间分辨率、亮度、触屏响应速度与灵敏度等，并提供相</w:t>
      </w:r>
      <w:r w:rsidRPr="004067A3">
        <w:rPr>
          <w:rFonts w:ascii="Times New Roman" w:eastAsia="仿宋_GB2312" w:cs="Times New Roman"/>
          <w:bCs/>
          <w:color w:val="auto"/>
          <w:sz w:val="32"/>
          <w:szCs w:val="32"/>
        </w:rPr>
        <w:lastRenderedPageBreak/>
        <w:t>应性能指标的确定依据和研究资料（若适用含临床评价资料）。</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例如，预期用于辅助决策的移动医学图像处理软件需明确移动计算终端所用显示屏的最小尺寸、最低空间分辨率和最低亮度，并提供相应临床评价资料，若适用还需明确触屏响应速度与灵敏度要求。</w:t>
      </w:r>
    </w:p>
    <w:p w:rsidR="004067A3" w:rsidRPr="004067A3" w:rsidRDefault="004067A3" w:rsidP="004067A3">
      <w:pPr>
        <w:overflowPunct w:val="0"/>
        <w:spacing w:line="520" w:lineRule="exact"/>
        <w:ind w:firstLineChars="200" w:firstLine="640"/>
        <w:rPr>
          <w:rFonts w:eastAsia="楷体_GB2312"/>
          <w:sz w:val="32"/>
          <w:szCs w:val="32"/>
        </w:rPr>
      </w:pPr>
      <w:r w:rsidRPr="004067A3">
        <w:rPr>
          <w:rFonts w:eastAsia="楷体_GB2312"/>
          <w:sz w:val="32"/>
          <w:szCs w:val="32"/>
        </w:rPr>
        <w:t>（三）环境光影响</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移动医疗器械的使用环境易发生变化，环境光的变化可能会导致医务人员误诊漏诊，产生相应临床风险。移动医疗器械的类型和预期用途不同，对于环境光抗干扰能力的要求也不同。以移动独立软件为例，辅助决策类软件对于环境光抗干扰能力的要求高于非辅助决策类软件。</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注册申请人也需根据移动医疗器械的类型、预期用途、使用环境和核心功能，确定产品对于环境光抗干扰能力的要求，如环境光检测、显示屏亮度矫正等，并提供相应确定依据和研究资料（若适用含临床评价资料）。</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例如，预期用于辅助决策的移动医学图像处理软件需具有环境光检测功能、显示屏亮度矫正功能，可结合移动计算终端相关功能予以实现，并提供相应临床评价资料。</w:t>
      </w:r>
    </w:p>
    <w:p w:rsidR="004067A3" w:rsidRPr="004067A3" w:rsidRDefault="004067A3" w:rsidP="004067A3">
      <w:pPr>
        <w:overflowPunct w:val="0"/>
        <w:spacing w:line="520" w:lineRule="exact"/>
        <w:ind w:firstLineChars="200" w:firstLine="640"/>
        <w:rPr>
          <w:rFonts w:eastAsia="楷体_GB2312"/>
          <w:sz w:val="32"/>
          <w:szCs w:val="32"/>
        </w:rPr>
      </w:pPr>
      <w:r w:rsidRPr="004067A3">
        <w:rPr>
          <w:rFonts w:eastAsia="楷体_GB2312"/>
          <w:sz w:val="32"/>
          <w:szCs w:val="32"/>
        </w:rPr>
        <w:t>（四）电池容量限制</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移动医疗器械体积小、重量轻，电池容量有限，电池续航时间可能无法满足临床需求，产生相应临床风险。同理，移动医疗器械的类型和预期用途不同，对于电池续航能力的要求也不同，通常用于长时生理信号监测的移动医疗器械对于电池续航能力的要求相对较高。</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注册申请人亦需根据移动医疗器械的类型、预期用途、使用</w:t>
      </w:r>
      <w:r w:rsidRPr="004067A3">
        <w:rPr>
          <w:rFonts w:ascii="Times New Roman" w:eastAsia="仿宋_GB2312" w:cs="Times New Roman"/>
          <w:bCs/>
          <w:color w:val="auto"/>
          <w:sz w:val="32"/>
          <w:szCs w:val="32"/>
        </w:rPr>
        <w:lastRenderedPageBreak/>
        <w:t>环境和核心功能，确定产品对电池续航能力的要求，如电池容量、续航时间、剩余电量提示（含电量不足提示）等，并提供相应确定依据和研究资料，可参考医疗器械电池技术相关指导原则的适用要求。</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例如，移动动态心电记录仪需明确电池的容量、续航时间（不少于</w:t>
      </w:r>
      <w:r w:rsidRPr="004067A3">
        <w:rPr>
          <w:rFonts w:ascii="Times New Roman" w:eastAsia="仿宋_GB2312" w:cs="Times New Roman"/>
          <w:bCs/>
          <w:color w:val="auto"/>
          <w:sz w:val="32"/>
          <w:szCs w:val="32"/>
        </w:rPr>
        <w:t>24</w:t>
      </w:r>
      <w:r w:rsidRPr="004067A3">
        <w:rPr>
          <w:rFonts w:ascii="Times New Roman" w:eastAsia="仿宋_GB2312" w:cs="Times New Roman"/>
          <w:bCs/>
          <w:color w:val="auto"/>
          <w:sz w:val="32"/>
          <w:szCs w:val="32"/>
        </w:rPr>
        <w:t>小时），并具有电量不足提示等功能。</w:t>
      </w:r>
    </w:p>
    <w:p w:rsidR="004067A3" w:rsidRPr="004067A3" w:rsidRDefault="004067A3" w:rsidP="004067A3">
      <w:pPr>
        <w:overflowPunct w:val="0"/>
        <w:spacing w:line="520" w:lineRule="exact"/>
        <w:ind w:firstLineChars="200" w:firstLine="640"/>
        <w:rPr>
          <w:rFonts w:eastAsia="楷体_GB2312"/>
          <w:sz w:val="32"/>
          <w:szCs w:val="32"/>
        </w:rPr>
      </w:pPr>
      <w:r w:rsidRPr="004067A3">
        <w:rPr>
          <w:rFonts w:eastAsia="楷体_GB2312"/>
          <w:sz w:val="32"/>
          <w:szCs w:val="32"/>
        </w:rPr>
        <w:t>（五）外部软件环境开放性</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移动医疗器械所用移动计算终端的外部软件环境若具有开放性，则其软件运行环境处于不受控状态，可能会导致产品非预期运行或不能正常运行，产生相应临床风险，特别是采用通用终端移动医疗器械的问题更为突出。</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注册申请人同样需根据移动医疗器械的类型、预期用途、使用环境和核心功能，确定外部软件环境开放能力的要求（如封闭、部分开放、全部开放等）及其风险控制措施，如不用的端口和服务全部关闭、部分关闭，或者软件启动自检运行环境通过后方可使用等，并提供相应确定依据和研究资料。</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楷体_GB2312" w:cs="Times New Roman"/>
          <w:sz w:val="32"/>
          <w:szCs w:val="32"/>
        </w:rPr>
      </w:pPr>
      <w:r w:rsidRPr="004067A3">
        <w:rPr>
          <w:rFonts w:ascii="Times New Roman" w:eastAsia="仿宋_GB2312" w:cs="Times New Roman"/>
          <w:bCs/>
          <w:color w:val="auto"/>
          <w:sz w:val="32"/>
          <w:szCs w:val="32"/>
        </w:rPr>
        <w:t>例如，预期用于辅助决策的移动医学图像处理软件需明确外部软件环境开放能力及其风险控制措施。</w:t>
      </w:r>
    </w:p>
    <w:p w:rsidR="004067A3" w:rsidRPr="004067A3" w:rsidRDefault="004067A3" w:rsidP="004067A3">
      <w:pPr>
        <w:overflowPunct w:val="0"/>
        <w:spacing w:line="520" w:lineRule="exact"/>
        <w:ind w:firstLineChars="200" w:firstLine="640"/>
        <w:rPr>
          <w:rFonts w:eastAsia="楷体_GB2312"/>
          <w:sz w:val="32"/>
          <w:szCs w:val="32"/>
        </w:rPr>
      </w:pPr>
      <w:r w:rsidRPr="004067A3">
        <w:rPr>
          <w:rFonts w:eastAsia="楷体_GB2312"/>
          <w:sz w:val="32"/>
          <w:szCs w:val="32"/>
        </w:rPr>
        <w:t>（六）非专业用户使用</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供非专业用户使用或在家庭环境使用的移动医疗器械，需结合人因设计基本原则重点关注产品使用风险。</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例如，在家庭环境使用的移动医疗器械若有用户界面需具有产品注册信息的用户确认功能，如登录界面明示产品注册信息待用户确认后方可使用，或者登录后弹出产品注册信息对话框待用户确认后方可使用。</w:t>
      </w:r>
    </w:p>
    <w:p w:rsidR="004067A3" w:rsidRPr="004067A3" w:rsidRDefault="004067A3" w:rsidP="004067A3">
      <w:pPr>
        <w:overflowPunct w:val="0"/>
        <w:spacing w:line="520" w:lineRule="exact"/>
        <w:ind w:firstLineChars="200" w:firstLine="640"/>
        <w:rPr>
          <w:rFonts w:eastAsia="楷体_GB2312"/>
          <w:sz w:val="32"/>
          <w:szCs w:val="32"/>
        </w:rPr>
      </w:pPr>
      <w:r w:rsidRPr="004067A3">
        <w:rPr>
          <w:rFonts w:eastAsia="楷体_GB2312"/>
          <w:sz w:val="32"/>
          <w:szCs w:val="32"/>
        </w:rPr>
        <w:lastRenderedPageBreak/>
        <w:t>（七）穿戴计算技术</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采用柔性计算等穿戴计算技术的移动医疗器械除考虑上述技术考量外，还需考虑穿戴计算技术的特征及其风险，以及可用性、可靠性等要求，并提供相应确定依据和研究资料（若适用含临床评价资料）。</w:t>
      </w:r>
    </w:p>
    <w:p w:rsidR="004067A3" w:rsidRPr="004067A3" w:rsidRDefault="004067A3" w:rsidP="004067A3">
      <w:pPr>
        <w:overflowPunct w:val="0"/>
        <w:spacing w:line="520" w:lineRule="exact"/>
        <w:ind w:firstLineChars="200" w:firstLine="640"/>
        <w:rPr>
          <w:rFonts w:eastAsia="楷体_GB2312"/>
          <w:sz w:val="32"/>
          <w:szCs w:val="32"/>
        </w:rPr>
      </w:pPr>
      <w:r w:rsidRPr="004067A3">
        <w:rPr>
          <w:rFonts w:eastAsia="楷体_GB2312"/>
          <w:sz w:val="32"/>
          <w:szCs w:val="32"/>
        </w:rPr>
        <w:t>（八）网络安全能力</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sz w:val="32"/>
          <w:szCs w:val="32"/>
        </w:rPr>
      </w:pPr>
      <w:r w:rsidRPr="004067A3">
        <w:rPr>
          <w:rFonts w:ascii="Times New Roman" w:eastAsia="仿宋_GB2312" w:cs="Times New Roman"/>
          <w:bCs/>
          <w:color w:val="auto"/>
          <w:sz w:val="32"/>
          <w:szCs w:val="32"/>
        </w:rPr>
        <w:t>移动医疗器械通常具备</w:t>
      </w:r>
      <w:r w:rsidRPr="004067A3">
        <w:rPr>
          <w:rFonts w:ascii="Times New Roman" w:eastAsia="仿宋_GB2312" w:cs="Times New Roman"/>
          <w:sz w:val="32"/>
          <w:szCs w:val="32"/>
        </w:rPr>
        <w:t>电子数据交换、远程访问与控制、用户访问</w:t>
      </w:r>
      <w:r w:rsidRPr="004067A3">
        <w:rPr>
          <w:rFonts w:ascii="Times New Roman" w:eastAsia="仿宋_GB2312" w:cs="Times New Roman"/>
          <w:bCs/>
          <w:sz w:val="32"/>
          <w:szCs w:val="32"/>
        </w:rPr>
        <w:t>三种功能当中一种及以上</w:t>
      </w:r>
      <w:r w:rsidRPr="004067A3">
        <w:rPr>
          <w:rFonts w:ascii="Times New Roman" w:eastAsia="仿宋_GB2312" w:cs="Times New Roman"/>
          <w:sz w:val="32"/>
          <w:szCs w:val="32"/>
        </w:rPr>
        <w:t>功能，故需考虑网络安全（含数据安全、信息安全）风险。同时，</w:t>
      </w:r>
      <w:r w:rsidRPr="004067A3">
        <w:rPr>
          <w:rFonts w:ascii="Times New Roman" w:eastAsia="仿宋_GB2312" w:cs="Times New Roman"/>
          <w:bCs/>
          <w:color w:val="auto"/>
          <w:sz w:val="32"/>
          <w:szCs w:val="32"/>
        </w:rPr>
        <w:t>移动医疗器械的类型、预期用途、使用环境和核心功能不同，其网络安全能力要求也不同，需结合医疗器械网络安全指导原则要求，明确产品网络安全能力要求，并在网络安全研究资料中予以说明。</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例如，预期用于辅助决策的移动独立软件需保证医疗数据具有不可得性，如软件在医护人员退出登录后能够自动清除下载至本地的医疗数据，或者采用加密技术保证下载至本地的医疗数据具有不可得性。</w:t>
      </w:r>
    </w:p>
    <w:p w:rsidR="004067A3" w:rsidRPr="004067A3" w:rsidRDefault="004067A3" w:rsidP="004067A3">
      <w:pPr>
        <w:overflowPunct w:val="0"/>
        <w:spacing w:line="520" w:lineRule="exact"/>
        <w:ind w:firstLineChars="200" w:firstLine="640"/>
        <w:rPr>
          <w:rFonts w:eastAsia="楷体_GB2312"/>
          <w:sz w:val="32"/>
          <w:szCs w:val="32"/>
        </w:rPr>
      </w:pPr>
      <w:r w:rsidRPr="004067A3">
        <w:rPr>
          <w:rFonts w:eastAsia="楷体_GB2312"/>
          <w:sz w:val="32"/>
          <w:szCs w:val="32"/>
        </w:rPr>
        <w:t>（九）注册单元与检测单元</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移动医疗设备与等效常规医疗器械通常作为不同注册单元，其注册单元与检测单元参照等效常规医疗器械相应要求，详见等效常规医疗器械产品相关指导原则，或医疗器械注册单元划分指导原则。</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移动独立软件与等效常规独立软件可作为同一注册单元，亦可单独注册，其注册单元与检测单元参照独立软件相应要求，详见医疗器械软件指导原则。</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控制型移动医疗附件与医疗器械产品作为同一注册单元，</w:t>
      </w:r>
      <w:r w:rsidRPr="004067A3">
        <w:rPr>
          <w:rFonts w:ascii="Times New Roman" w:eastAsia="仿宋_GB2312" w:cs="Times New Roman"/>
          <w:bCs/>
          <w:color w:val="auto"/>
          <w:sz w:val="32"/>
          <w:szCs w:val="32"/>
        </w:rPr>
        <w:lastRenderedPageBreak/>
        <w:t>其注册单元与检测单元参照软件组件相应要求，详见医疗器械软件指导原则。</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数据型移动医疗附件可与医疗器械产品作为同一注册单元，其注册单元与检测单元参照独立软件视为软件组件的相应要求，详见医疗器械软件指导原则。若单独注册，则其注册单元和检测单元参照移动医疗设备（基于医用终端）或移动独立软件（基于通用终端）相应要求。此外，数据型移动医疗附件若作为医疗器械产品实现预期用途所必需的部件（如显示屏），则需与医疗器械产品进行整体注册。</w:t>
      </w:r>
    </w:p>
    <w:p w:rsidR="004067A3" w:rsidRPr="004067A3" w:rsidRDefault="004067A3" w:rsidP="004067A3">
      <w:pPr>
        <w:overflowPunct w:val="0"/>
        <w:spacing w:line="520" w:lineRule="exact"/>
        <w:ind w:firstLineChars="200" w:firstLine="640"/>
        <w:rPr>
          <w:rFonts w:eastAsia="楷体_GB2312"/>
          <w:sz w:val="32"/>
          <w:szCs w:val="32"/>
        </w:rPr>
      </w:pPr>
      <w:r w:rsidRPr="004067A3">
        <w:rPr>
          <w:rFonts w:eastAsia="楷体_GB2312"/>
          <w:sz w:val="32"/>
          <w:szCs w:val="32"/>
        </w:rPr>
        <w:t>（十）临床评价基本原则</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移动医疗器械临床评价基本原则遵循医疗器械软件相应要求，详见医疗器械软件指导原则。临床评价具体要求详见临床评价系列指导原则。</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考虑到移动医疗器械通常用于实现或部分实现等效常规医疗器械的预期用途、核心功能，若采用同品种比对临床评价方式，可选取已在境内上市的移动医疗器械或等效常规医疗器械作为同品种产品进行比对。</w:t>
      </w:r>
    </w:p>
    <w:p w:rsidR="004067A3" w:rsidRPr="004067A3" w:rsidRDefault="004067A3" w:rsidP="004067A3">
      <w:pPr>
        <w:spacing w:line="520" w:lineRule="exact"/>
        <w:ind w:firstLineChars="200" w:firstLine="640"/>
        <w:outlineLvl w:val="0"/>
        <w:rPr>
          <w:rFonts w:eastAsia="黑体"/>
          <w:sz w:val="32"/>
          <w:szCs w:val="32"/>
        </w:rPr>
      </w:pPr>
      <w:bookmarkStart w:id="8" w:name="_Toc27156"/>
      <w:r w:rsidRPr="004067A3">
        <w:rPr>
          <w:rFonts w:eastAsia="黑体"/>
          <w:sz w:val="32"/>
          <w:szCs w:val="32"/>
        </w:rPr>
        <w:t>五、移动计算终端研究</w:t>
      </w:r>
      <w:bookmarkEnd w:id="8"/>
      <w:r w:rsidRPr="004067A3">
        <w:rPr>
          <w:rFonts w:eastAsia="黑体"/>
          <w:sz w:val="32"/>
          <w:szCs w:val="32"/>
        </w:rPr>
        <w:t>报告</w:t>
      </w:r>
    </w:p>
    <w:p w:rsidR="004067A3" w:rsidRPr="004067A3" w:rsidRDefault="004067A3" w:rsidP="004067A3">
      <w:pPr>
        <w:overflowPunct w:val="0"/>
        <w:spacing w:line="520" w:lineRule="exact"/>
        <w:ind w:firstLineChars="200" w:firstLine="640"/>
        <w:rPr>
          <w:rFonts w:eastAsia="仿宋_GB2312"/>
          <w:sz w:val="32"/>
          <w:szCs w:val="32"/>
        </w:rPr>
      </w:pPr>
      <w:r w:rsidRPr="004067A3">
        <w:rPr>
          <w:rFonts w:eastAsia="仿宋_GB2312"/>
          <w:sz w:val="32"/>
          <w:szCs w:val="32"/>
        </w:rPr>
        <w:t>移动计算终端研究报告包括基本信息、技术考量、风险管理、需求规范、验证与确认、可追溯性分析、结论等内容。</w:t>
      </w:r>
    </w:p>
    <w:p w:rsidR="004067A3" w:rsidRPr="004067A3" w:rsidRDefault="004067A3" w:rsidP="004067A3">
      <w:pPr>
        <w:overflowPunct w:val="0"/>
        <w:spacing w:line="520" w:lineRule="exact"/>
        <w:ind w:firstLineChars="200" w:firstLine="640"/>
        <w:rPr>
          <w:rFonts w:eastAsia="仿宋_GB2312"/>
          <w:sz w:val="32"/>
          <w:szCs w:val="32"/>
        </w:rPr>
      </w:pPr>
      <w:r w:rsidRPr="004067A3">
        <w:rPr>
          <w:rFonts w:eastAsia="仿宋_GB2312"/>
          <w:sz w:val="32"/>
          <w:szCs w:val="32"/>
        </w:rPr>
        <w:t>1.</w:t>
      </w:r>
      <w:r w:rsidRPr="004067A3">
        <w:rPr>
          <w:rFonts w:eastAsia="仿宋_GB2312"/>
          <w:sz w:val="32"/>
          <w:szCs w:val="32"/>
        </w:rPr>
        <w:t>基本信息</w:t>
      </w:r>
    </w:p>
    <w:p w:rsidR="004067A3" w:rsidRPr="004067A3" w:rsidRDefault="004067A3" w:rsidP="004067A3">
      <w:pPr>
        <w:overflowPunct w:val="0"/>
        <w:spacing w:line="520" w:lineRule="exact"/>
        <w:ind w:firstLineChars="200" w:firstLine="640"/>
        <w:rPr>
          <w:rFonts w:eastAsia="仿宋_GB2312"/>
          <w:sz w:val="32"/>
          <w:szCs w:val="32"/>
        </w:rPr>
      </w:pPr>
      <w:r w:rsidRPr="004067A3">
        <w:rPr>
          <w:rFonts w:eastAsia="仿宋_GB2312"/>
          <w:sz w:val="32"/>
          <w:szCs w:val="32"/>
        </w:rPr>
        <w:t>明确移动医疗器械的类型、预期用途、使用环境、核心功能，以及移动计算终端的类型、性能指标、运行环境、选用依据。</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若使用通用终端自带传感器，则需在运行环境中明确自带传感器相关性能指标要求。</w:t>
      </w:r>
    </w:p>
    <w:p w:rsidR="004067A3" w:rsidRPr="004067A3" w:rsidRDefault="004067A3" w:rsidP="004067A3">
      <w:pPr>
        <w:overflowPunct w:val="0"/>
        <w:spacing w:line="520" w:lineRule="exact"/>
        <w:ind w:firstLineChars="200" w:firstLine="640"/>
        <w:rPr>
          <w:rFonts w:eastAsia="仿宋_GB2312"/>
          <w:sz w:val="32"/>
          <w:szCs w:val="32"/>
        </w:rPr>
      </w:pPr>
      <w:r w:rsidRPr="004067A3">
        <w:rPr>
          <w:rFonts w:eastAsia="仿宋_GB2312"/>
          <w:sz w:val="32"/>
          <w:szCs w:val="32"/>
        </w:rPr>
        <w:lastRenderedPageBreak/>
        <w:t>若采用多种多个移动计算终端，则需提供终端列表。</w:t>
      </w:r>
    </w:p>
    <w:p w:rsidR="004067A3" w:rsidRPr="004067A3" w:rsidRDefault="004067A3" w:rsidP="004067A3">
      <w:pPr>
        <w:overflowPunct w:val="0"/>
        <w:spacing w:line="520" w:lineRule="exact"/>
        <w:ind w:firstLineChars="200" w:firstLine="640"/>
        <w:rPr>
          <w:rFonts w:eastAsia="仿宋_GB2312"/>
          <w:sz w:val="32"/>
          <w:szCs w:val="32"/>
        </w:rPr>
      </w:pPr>
      <w:r w:rsidRPr="004067A3">
        <w:rPr>
          <w:rFonts w:eastAsia="仿宋_GB2312"/>
          <w:sz w:val="32"/>
          <w:szCs w:val="32"/>
        </w:rPr>
        <w:t>2.</w:t>
      </w:r>
      <w:r w:rsidRPr="004067A3">
        <w:rPr>
          <w:rFonts w:eastAsia="仿宋_GB2312"/>
          <w:sz w:val="32"/>
          <w:szCs w:val="32"/>
        </w:rPr>
        <w:t>技术考量</w:t>
      </w:r>
    </w:p>
    <w:p w:rsidR="004067A3" w:rsidRPr="004067A3" w:rsidRDefault="004067A3" w:rsidP="004067A3">
      <w:pPr>
        <w:overflowPunct w:val="0"/>
        <w:spacing w:line="520" w:lineRule="exact"/>
        <w:ind w:firstLineChars="200" w:firstLine="640"/>
        <w:rPr>
          <w:rFonts w:eastAsia="仿宋_GB2312"/>
          <w:sz w:val="32"/>
          <w:szCs w:val="32"/>
        </w:rPr>
      </w:pPr>
      <w:r w:rsidRPr="004067A3">
        <w:rPr>
          <w:rFonts w:eastAsia="仿宋_GB2312"/>
          <w:sz w:val="32"/>
          <w:szCs w:val="32"/>
        </w:rPr>
        <w:t>针对第四章所述第二项至第七项技术考量提供适用性说明，不适用项详述理由。</w:t>
      </w:r>
    </w:p>
    <w:p w:rsidR="004067A3" w:rsidRPr="004067A3" w:rsidRDefault="004067A3" w:rsidP="004067A3">
      <w:pPr>
        <w:spacing w:line="520" w:lineRule="exact"/>
        <w:ind w:firstLineChars="200" w:firstLine="640"/>
        <w:rPr>
          <w:rFonts w:eastAsia="仿宋_GB2312"/>
          <w:sz w:val="32"/>
          <w:szCs w:val="32"/>
        </w:rPr>
      </w:pPr>
      <w:r w:rsidRPr="004067A3">
        <w:rPr>
          <w:rFonts w:eastAsia="仿宋_GB2312"/>
          <w:sz w:val="32"/>
          <w:szCs w:val="32"/>
        </w:rPr>
        <w:t>3.</w:t>
      </w:r>
      <w:r w:rsidRPr="004067A3">
        <w:rPr>
          <w:rFonts w:eastAsia="仿宋_GB2312"/>
          <w:sz w:val="32"/>
          <w:szCs w:val="32"/>
        </w:rPr>
        <w:t>风险管理</w:t>
      </w:r>
    </w:p>
    <w:p w:rsidR="004067A3" w:rsidRPr="004067A3" w:rsidRDefault="004067A3" w:rsidP="004067A3">
      <w:pPr>
        <w:overflowPunct w:val="0"/>
        <w:spacing w:line="520" w:lineRule="exact"/>
        <w:ind w:firstLineChars="200" w:firstLine="640"/>
        <w:rPr>
          <w:rFonts w:eastAsia="仿宋_GB2312"/>
          <w:sz w:val="32"/>
          <w:szCs w:val="32"/>
        </w:rPr>
      </w:pPr>
      <w:r w:rsidRPr="004067A3">
        <w:rPr>
          <w:rFonts w:eastAsia="仿宋_GB2312"/>
          <w:sz w:val="32"/>
          <w:szCs w:val="32"/>
        </w:rPr>
        <w:t>针对第四章所适用的技术考量提供相应风险管理报告，涵盖全部移动计算终端。</w:t>
      </w:r>
    </w:p>
    <w:p w:rsidR="004067A3" w:rsidRPr="004067A3" w:rsidRDefault="004067A3" w:rsidP="004067A3">
      <w:pPr>
        <w:overflowPunct w:val="0"/>
        <w:spacing w:line="520" w:lineRule="exact"/>
        <w:ind w:firstLineChars="200" w:firstLine="640"/>
        <w:rPr>
          <w:rFonts w:eastAsia="仿宋_GB2312"/>
          <w:sz w:val="32"/>
          <w:szCs w:val="32"/>
        </w:rPr>
      </w:pPr>
      <w:r w:rsidRPr="004067A3">
        <w:rPr>
          <w:rFonts w:eastAsia="仿宋_GB2312"/>
          <w:sz w:val="32"/>
          <w:szCs w:val="32"/>
        </w:rPr>
        <w:t>若无单独文档可提供软件风险管理资料，并注明移动计算终端风险管理所在位置。</w:t>
      </w:r>
    </w:p>
    <w:p w:rsidR="004067A3" w:rsidRPr="004067A3" w:rsidRDefault="004067A3" w:rsidP="004067A3">
      <w:pPr>
        <w:spacing w:line="520" w:lineRule="exact"/>
        <w:ind w:firstLineChars="200" w:firstLine="640"/>
        <w:rPr>
          <w:rFonts w:eastAsia="仿宋_GB2312"/>
          <w:sz w:val="32"/>
          <w:szCs w:val="32"/>
        </w:rPr>
      </w:pPr>
      <w:r w:rsidRPr="004067A3">
        <w:rPr>
          <w:rFonts w:eastAsia="仿宋_GB2312"/>
          <w:sz w:val="32"/>
          <w:szCs w:val="32"/>
        </w:rPr>
        <w:t>4.</w:t>
      </w:r>
      <w:r w:rsidRPr="004067A3">
        <w:rPr>
          <w:rFonts w:eastAsia="仿宋_GB2312"/>
          <w:sz w:val="32"/>
          <w:szCs w:val="32"/>
        </w:rPr>
        <w:t>需求规范</w:t>
      </w:r>
    </w:p>
    <w:p w:rsidR="004067A3" w:rsidRPr="004067A3" w:rsidRDefault="004067A3" w:rsidP="004067A3">
      <w:pPr>
        <w:spacing w:line="520" w:lineRule="exact"/>
        <w:ind w:firstLineChars="200" w:firstLine="640"/>
        <w:rPr>
          <w:rFonts w:eastAsia="仿宋_GB2312"/>
          <w:sz w:val="32"/>
          <w:szCs w:val="32"/>
        </w:rPr>
      </w:pPr>
      <w:r w:rsidRPr="004067A3">
        <w:rPr>
          <w:rFonts w:eastAsia="仿宋_GB2312"/>
          <w:sz w:val="32"/>
          <w:szCs w:val="32"/>
        </w:rPr>
        <w:t>针对第四章所适用的技术考量提供移动计算终端需求规范文档，涵盖全部移动计算终端。</w:t>
      </w:r>
    </w:p>
    <w:p w:rsidR="004067A3" w:rsidRPr="004067A3" w:rsidRDefault="004067A3" w:rsidP="004067A3">
      <w:pPr>
        <w:spacing w:line="520" w:lineRule="exact"/>
        <w:ind w:firstLineChars="200" w:firstLine="640"/>
        <w:rPr>
          <w:rFonts w:eastAsia="仿宋_GB2312"/>
          <w:sz w:val="32"/>
          <w:szCs w:val="32"/>
        </w:rPr>
      </w:pPr>
      <w:r w:rsidRPr="004067A3">
        <w:rPr>
          <w:rFonts w:eastAsia="仿宋_GB2312"/>
          <w:sz w:val="32"/>
          <w:szCs w:val="32"/>
        </w:rPr>
        <w:t>若无单独文档可提供软件需求规范，并注明移动计算终端需求所在位置。</w:t>
      </w:r>
    </w:p>
    <w:p w:rsidR="004067A3" w:rsidRPr="004067A3" w:rsidRDefault="004067A3" w:rsidP="004067A3">
      <w:pPr>
        <w:spacing w:line="520" w:lineRule="exact"/>
        <w:ind w:firstLineChars="200" w:firstLine="640"/>
        <w:rPr>
          <w:rFonts w:eastAsia="仿宋_GB2312"/>
          <w:sz w:val="32"/>
          <w:szCs w:val="32"/>
        </w:rPr>
      </w:pPr>
      <w:r w:rsidRPr="004067A3">
        <w:rPr>
          <w:rFonts w:eastAsia="仿宋_GB2312"/>
          <w:sz w:val="32"/>
          <w:szCs w:val="32"/>
        </w:rPr>
        <w:t>5.</w:t>
      </w:r>
      <w:r w:rsidRPr="004067A3">
        <w:rPr>
          <w:rFonts w:eastAsia="仿宋_GB2312"/>
          <w:sz w:val="32"/>
          <w:szCs w:val="32"/>
        </w:rPr>
        <w:t>验证与确认</w:t>
      </w:r>
    </w:p>
    <w:p w:rsidR="004067A3" w:rsidRPr="004067A3" w:rsidRDefault="004067A3" w:rsidP="004067A3">
      <w:pPr>
        <w:overflowPunct w:val="0"/>
        <w:spacing w:line="520" w:lineRule="exact"/>
        <w:ind w:firstLineChars="200" w:firstLine="640"/>
        <w:rPr>
          <w:rFonts w:eastAsia="仿宋_GB2312"/>
          <w:sz w:val="32"/>
          <w:szCs w:val="32"/>
        </w:rPr>
      </w:pPr>
      <w:r w:rsidRPr="004067A3">
        <w:rPr>
          <w:rFonts w:eastAsia="仿宋_GB2312"/>
          <w:sz w:val="32"/>
          <w:szCs w:val="32"/>
        </w:rPr>
        <w:t>提供移动计算终端测试计划和报告，涵盖全部移动计算终端。可提供移动计算终端典型性分析报告、典型终端测试计划和报告。</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color w:val="auto"/>
          <w:sz w:val="32"/>
          <w:szCs w:val="32"/>
        </w:rPr>
      </w:pPr>
      <w:r w:rsidRPr="004067A3">
        <w:rPr>
          <w:rFonts w:ascii="Times New Roman" w:eastAsia="仿宋_GB2312" w:cs="Times New Roman"/>
          <w:bCs/>
          <w:color w:val="auto"/>
          <w:sz w:val="32"/>
          <w:szCs w:val="32"/>
        </w:rPr>
        <w:t>若使用通用终端自带传感器，则需提供自带传感器相应验证与确认资料。</w:t>
      </w:r>
    </w:p>
    <w:p w:rsidR="004067A3" w:rsidRPr="004067A3" w:rsidRDefault="004067A3" w:rsidP="004067A3">
      <w:pPr>
        <w:overflowPunct w:val="0"/>
        <w:spacing w:line="520" w:lineRule="exact"/>
        <w:ind w:firstLineChars="200" w:firstLine="640"/>
        <w:rPr>
          <w:rFonts w:eastAsia="仿宋_GB2312"/>
          <w:sz w:val="32"/>
          <w:szCs w:val="32"/>
        </w:rPr>
      </w:pPr>
      <w:r w:rsidRPr="004067A3">
        <w:rPr>
          <w:rFonts w:eastAsia="仿宋_GB2312"/>
          <w:sz w:val="32"/>
          <w:szCs w:val="32"/>
        </w:rPr>
        <w:t>若无单独文档可提供软件测试计划和报告，并注明移动计算终端测试所在位置。</w:t>
      </w:r>
    </w:p>
    <w:p w:rsidR="004067A3" w:rsidRPr="004067A3" w:rsidRDefault="004067A3" w:rsidP="004067A3">
      <w:pPr>
        <w:overflowPunct w:val="0"/>
        <w:spacing w:line="520" w:lineRule="exact"/>
        <w:ind w:firstLineChars="200" w:firstLine="640"/>
        <w:rPr>
          <w:rFonts w:eastAsia="仿宋_GB2312"/>
          <w:sz w:val="32"/>
          <w:szCs w:val="32"/>
        </w:rPr>
      </w:pPr>
      <w:r w:rsidRPr="004067A3">
        <w:rPr>
          <w:rFonts w:eastAsia="仿宋_GB2312"/>
          <w:sz w:val="32"/>
          <w:szCs w:val="32"/>
        </w:rPr>
        <w:t>6.</w:t>
      </w:r>
      <w:r w:rsidRPr="004067A3">
        <w:rPr>
          <w:rFonts w:eastAsia="仿宋_GB2312"/>
          <w:sz w:val="32"/>
          <w:szCs w:val="32"/>
        </w:rPr>
        <w:t>可追溯性分析</w:t>
      </w:r>
    </w:p>
    <w:p w:rsidR="004067A3" w:rsidRPr="004067A3" w:rsidRDefault="004067A3" w:rsidP="004067A3">
      <w:pPr>
        <w:spacing w:line="520" w:lineRule="exact"/>
        <w:ind w:firstLineChars="200" w:firstLine="640"/>
        <w:rPr>
          <w:rFonts w:eastAsia="仿宋_GB2312"/>
          <w:sz w:val="32"/>
          <w:szCs w:val="32"/>
        </w:rPr>
      </w:pPr>
      <w:r w:rsidRPr="004067A3">
        <w:rPr>
          <w:rFonts w:eastAsia="仿宋_GB2312"/>
          <w:sz w:val="32"/>
          <w:szCs w:val="32"/>
        </w:rPr>
        <w:t>提供移动计算终端可追溯性分析报告，即追溯其需求、设计、源代码（明确软件单元名称即可）、测试、风险管理的关系</w:t>
      </w:r>
      <w:r w:rsidRPr="004067A3">
        <w:rPr>
          <w:rFonts w:eastAsia="仿宋_GB2312"/>
          <w:sz w:val="32"/>
          <w:szCs w:val="32"/>
        </w:rPr>
        <w:lastRenderedPageBreak/>
        <w:t>表。</w:t>
      </w:r>
    </w:p>
    <w:p w:rsidR="004067A3" w:rsidRPr="004067A3" w:rsidRDefault="004067A3" w:rsidP="004067A3">
      <w:pPr>
        <w:spacing w:line="520" w:lineRule="exact"/>
        <w:ind w:firstLineChars="200" w:firstLine="640"/>
        <w:rPr>
          <w:rFonts w:eastAsia="仿宋_GB2312"/>
          <w:sz w:val="32"/>
          <w:szCs w:val="32"/>
        </w:rPr>
      </w:pPr>
      <w:r w:rsidRPr="004067A3">
        <w:rPr>
          <w:rFonts w:eastAsia="仿宋_GB2312"/>
          <w:sz w:val="32"/>
          <w:szCs w:val="32"/>
        </w:rPr>
        <w:t>若无单独文档可提供软件可追溯性分析报告，并注明移动计算终端可追溯性分析所在位置。</w:t>
      </w:r>
    </w:p>
    <w:p w:rsidR="004067A3" w:rsidRPr="004067A3" w:rsidRDefault="004067A3" w:rsidP="004067A3">
      <w:pPr>
        <w:overflowPunct w:val="0"/>
        <w:spacing w:line="520" w:lineRule="exact"/>
        <w:ind w:firstLineChars="200" w:firstLine="640"/>
        <w:rPr>
          <w:rFonts w:eastAsia="仿宋_GB2312"/>
          <w:sz w:val="32"/>
          <w:szCs w:val="32"/>
        </w:rPr>
      </w:pPr>
      <w:r w:rsidRPr="004067A3">
        <w:rPr>
          <w:rFonts w:eastAsia="仿宋_GB2312"/>
          <w:sz w:val="32"/>
          <w:szCs w:val="32"/>
        </w:rPr>
        <w:t>7.</w:t>
      </w:r>
      <w:r w:rsidRPr="004067A3">
        <w:rPr>
          <w:rFonts w:eastAsia="仿宋_GB2312"/>
          <w:sz w:val="32"/>
          <w:szCs w:val="32"/>
        </w:rPr>
        <w:t>结论</w:t>
      </w:r>
    </w:p>
    <w:p w:rsidR="004067A3" w:rsidRPr="004067A3" w:rsidRDefault="004067A3" w:rsidP="004067A3">
      <w:pPr>
        <w:overflowPunct w:val="0"/>
        <w:spacing w:line="520" w:lineRule="exact"/>
        <w:ind w:firstLineChars="200" w:firstLine="640"/>
        <w:rPr>
          <w:rFonts w:eastAsia="仿宋_GB2312"/>
          <w:sz w:val="32"/>
          <w:szCs w:val="32"/>
        </w:rPr>
      </w:pPr>
      <w:r w:rsidRPr="004067A3">
        <w:rPr>
          <w:rFonts w:eastAsia="仿宋_GB2312"/>
          <w:sz w:val="32"/>
          <w:szCs w:val="32"/>
        </w:rPr>
        <w:t>简述移动计算终端安全有效性研究结果，并判定其安全有效性是否满足设计要求，涵盖全部移动计算终端。</w:t>
      </w:r>
    </w:p>
    <w:p w:rsidR="004067A3" w:rsidRPr="004067A3" w:rsidRDefault="004067A3" w:rsidP="004067A3">
      <w:pPr>
        <w:overflowPunct w:val="0"/>
        <w:spacing w:line="520" w:lineRule="exact"/>
        <w:ind w:firstLineChars="200" w:firstLine="640"/>
        <w:rPr>
          <w:rFonts w:eastAsia="黑体"/>
          <w:bCs/>
          <w:sz w:val="32"/>
          <w:szCs w:val="32"/>
        </w:rPr>
      </w:pPr>
      <w:r w:rsidRPr="004067A3">
        <w:rPr>
          <w:rFonts w:eastAsia="黑体"/>
          <w:bCs/>
          <w:sz w:val="32"/>
          <w:szCs w:val="32"/>
        </w:rPr>
        <w:t>六、注册申报资料补充说明</w:t>
      </w:r>
    </w:p>
    <w:p w:rsidR="004067A3" w:rsidRPr="004067A3" w:rsidRDefault="004067A3" w:rsidP="004067A3">
      <w:pPr>
        <w:overflowPunct w:val="0"/>
        <w:spacing w:line="520" w:lineRule="exact"/>
        <w:ind w:firstLineChars="200" w:firstLine="640"/>
        <w:rPr>
          <w:rFonts w:eastAsia="楷体_GB2312"/>
          <w:sz w:val="32"/>
          <w:szCs w:val="32"/>
        </w:rPr>
      </w:pPr>
      <w:bookmarkStart w:id="9" w:name="产品注册"/>
      <w:bookmarkStart w:id="10" w:name="OLE_LINK12"/>
      <w:r w:rsidRPr="004067A3">
        <w:rPr>
          <w:rFonts w:eastAsia="楷体_GB2312"/>
          <w:sz w:val="32"/>
          <w:szCs w:val="32"/>
        </w:rPr>
        <w:t>（一）</w:t>
      </w:r>
      <w:bookmarkEnd w:id="9"/>
      <w:r w:rsidRPr="004067A3">
        <w:rPr>
          <w:rFonts w:eastAsia="楷体_GB2312"/>
          <w:sz w:val="32"/>
          <w:szCs w:val="32"/>
        </w:rPr>
        <w:t>移动医疗设备</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bookmarkStart w:id="11" w:name="_Toc322935369"/>
      <w:bookmarkStart w:id="12" w:name="_Toc322935367"/>
      <w:bookmarkEnd w:id="10"/>
      <w:r w:rsidRPr="004067A3">
        <w:rPr>
          <w:rFonts w:ascii="Times New Roman" w:eastAsia="仿宋_GB2312" w:cs="Times New Roman"/>
          <w:bCs/>
          <w:color w:val="auto"/>
          <w:sz w:val="32"/>
          <w:szCs w:val="32"/>
        </w:rPr>
        <w:t>移动医疗设备通常用于实现或部分实现等效常规医疗器械的预期用途、核心功能。注册申请人需结合本指导原则、等效常规医疗器械产品相关指导原则（若有）、医疗器械软件指导原则、医疗器械网络安全指导原则、人工智能医疗器械指导原则（若适用）的要求提交相应注册申报资料。</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具体而言，软件研究资料提供移动计算终端研究报告，网络安全研究资料涵盖移动计算终端。产品技术要求明确参照等效常规医疗器械所制定的性能指标要求，以及移动计算终端的性能指标要求。稳定性研究资料涵盖全部移动计算终端。说明书提供移动计算终端性能指标要求或终端列表（若适用），明确使用方法和提示警示信息，特别是供非专业用户使用或在家庭环境使用的产品。</w:t>
      </w:r>
    </w:p>
    <w:p w:rsidR="004067A3" w:rsidRPr="004067A3" w:rsidRDefault="004067A3" w:rsidP="004067A3">
      <w:pPr>
        <w:overflowPunct w:val="0"/>
        <w:spacing w:line="520" w:lineRule="exact"/>
        <w:ind w:firstLineChars="200" w:firstLine="640"/>
        <w:rPr>
          <w:rFonts w:eastAsia="楷体_GB2312"/>
          <w:sz w:val="32"/>
          <w:szCs w:val="32"/>
        </w:rPr>
      </w:pPr>
      <w:bookmarkStart w:id="13" w:name="注册变更"/>
      <w:bookmarkEnd w:id="11"/>
      <w:bookmarkEnd w:id="12"/>
      <w:r w:rsidRPr="004067A3">
        <w:rPr>
          <w:rFonts w:eastAsia="楷体_GB2312"/>
          <w:sz w:val="32"/>
          <w:szCs w:val="32"/>
        </w:rPr>
        <w:t>（二）移动独立软件</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移动独立软件与等效常规独立软件相比主要差异在于二者运行环境（即计算平台）和使用环境不同。注册申请人需结合本指导原则、等效常规独立软件产品相关指导原则（若有）、医疗器械软件指导原则、医疗器械网络安全指导原则、人工智能医</w:t>
      </w:r>
      <w:r w:rsidRPr="004067A3">
        <w:rPr>
          <w:rFonts w:ascii="Times New Roman" w:eastAsia="仿宋_GB2312" w:cs="Times New Roman"/>
          <w:bCs/>
          <w:color w:val="auto"/>
          <w:sz w:val="32"/>
          <w:szCs w:val="32"/>
        </w:rPr>
        <w:lastRenderedPageBreak/>
        <w:t>疗器械指导原则（若适用）的要求提交相应注册申报资料。</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具体而言，软件研究资料提供移动计算终端研究报告，网络安全研究资料涵盖移动计算终端。产品技术要求基于医疗器械软件指导原则附件，在运行环境中明确通用终端（若适用含自带传感器）的性能指标要求。对于使用通用终端自带传感器的移动独立软件，稳定性研究资料涵盖全部通用终端。说明书要求与移动医疗设备相同。</w:t>
      </w:r>
    </w:p>
    <w:p w:rsidR="004067A3" w:rsidRPr="004067A3" w:rsidRDefault="004067A3" w:rsidP="004067A3">
      <w:pPr>
        <w:overflowPunct w:val="0"/>
        <w:spacing w:line="520" w:lineRule="exact"/>
        <w:ind w:firstLineChars="200" w:firstLine="640"/>
        <w:rPr>
          <w:rFonts w:eastAsia="楷体_GB2312"/>
          <w:sz w:val="32"/>
          <w:szCs w:val="32"/>
        </w:rPr>
      </w:pPr>
      <w:r w:rsidRPr="004067A3">
        <w:rPr>
          <w:rFonts w:eastAsia="楷体_GB2312"/>
          <w:sz w:val="32"/>
          <w:szCs w:val="32"/>
        </w:rPr>
        <w:t>（三）移动医疗附件</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控制型移动医疗附件随医疗器械产品进行整体注册，注册申请人需在医疗器械产品注册申报资料中，根据本指导原则的适用要求提供控制型移动医疗附件的注册申报资料。</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具体而言，软件研究资料提供移动计算终端研究报告，网络安全研究资料涵盖移动计算终端，产品技术要求明确移动计算终端的性能指标要求，稳定性研究资料涵盖全部移动计算终端，说明书要求与移动医疗设备相同。</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数据型移动医疗附件若随医疗器械产品进行整体注册，则参照控制型移动医疗附件的注册申报资料要求；若单独注册，则参照移动医疗设备（基于医用终端）或移动独立软件（基于通用终端）的注册申报资料要求。</w:t>
      </w:r>
    </w:p>
    <w:bookmarkEnd w:id="13"/>
    <w:p w:rsidR="004067A3" w:rsidRPr="004067A3" w:rsidRDefault="004067A3" w:rsidP="004067A3">
      <w:pPr>
        <w:overflowPunct w:val="0"/>
        <w:spacing w:line="520" w:lineRule="exact"/>
        <w:ind w:firstLineChars="200" w:firstLine="640"/>
        <w:rPr>
          <w:rFonts w:eastAsia="黑体"/>
          <w:bCs/>
          <w:sz w:val="32"/>
          <w:szCs w:val="32"/>
        </w:rPr>
      </w:pPr>
      <w:r w:rsidRPr="004067A3">
        <w:rPr>
          <w:rFonts w:eastAsia="黑体"/>
          <w:bCs/>
          <w:sz w:val="32"/>
          <w:szCs w:val="32"/>
        </w:rPr>
        <w:t>七、参考文献</w:t>
      </w:r>
      <w:bookmarkEnd w:id="3"/>
      <w:bookmarkEnd w:id="4"/>
    </w:p>
    <w:p w:rsidR="004067A3" w:rsidRPr="004067A3" w:rsidRDefault="004067A3" w:rsidP="004067A3">
      <w:pPr>
        <w:widowControl/>
        <w:spacing w:line="520" w:lineRule="exact"/>
        <w:ind w:firstLineChars="200" w:firstLine="640"/>
        <w:rPr>
          <w:rFonts w:eastAsia="仿宋_GB2312"/>
          <w:sz w:val="32"/>
          <w:szCs w:val="32"/>
        </w:rPr>
      </w:pPr>
      <w:r w:rsidRPr="004067A3">
        <w:rPr>
          <w:rFonts w:eastAsia="仿宋_GB2312"/>
          <w:kern w:val="0"/>
          <w:sz w:val="32"/>
          <w:szCs w:val="32"/>
        </w:rPr>
        <w:t xml:space="preserve">[1] </w:t>
      </w:r>
      <w:r w:rsidRPr="004067A3">
        <w:rPr>
          <w:rFonts w:eastAsia="仿宋_GB2312"/>
          <w:sz w:val="32"/>
          <w:szCs w:val="32"/>
        </w:rPr>
        <w:t>国家市场监督管理总局</w:t>
      </w:r>
      <w:r w:rsidRPr="004067A3">
        <w:rPr>
          <w:rFonts w:eastAsia="仿宋_GB2312"/>
          <w:sz w:val="32"/>
          <w:szCs w:val="32"/>
        </w:rPr>
        <w:t xml:space="preserve">. </w:t>
      </w:r>
      <w:r w:rsidRPr="004067A3">
        <w:rPr>
          <w:rFonts w:eastAsia="仿宋_GB2312"/>
          <w:sz w:val="32"/>
          <w:szCs w:val="32"/>
        </w:rPr>
        <w:t>医疗器械注册与备案管理办法</w:t>
      </w:r>
      <w:r w:rsidRPr="004067A3">
        <w:rPr>
          <w:rFonts w:eastAsia="仿宋_GB2312"/>
          <w:sz w:val="32"/>
          <w:szCs w:val="32"/>
        </w:rPr>
        <w:t>:</w:t>
      </w:r>
      <w:r w:rsidRPr="004067A3">
        <w:rPr>
          <w:rFonts w:eastAsia="仿宋_GB2312"/>
          <w:sz w:val="32"/>
          <w:szCs w:val="32"/>
        </w:rPr>
        <w:t>国家市场监督管理总局令第</w:t>
      </w:r>
      <w:r w:rsidRPr="004067A3">
        <w:rPr>
          <w:rFonts w:eastAsia="仿宋_GB2312"/>
          <w:sz w:val="32"/>
          <w:szCs w:val="32"/>
        </w:rPr>
        <w:t>47</w:t>
      </w:r>
      <w:r w:rsidRPr="004067A3">
        <w:rPr>
          <w:rFonts w:eastAsia="仿宋_GB2312"/>
          <w:sz w:val="32"/>
          <w:szCs w:val="32"/>
        </w:rPr>
        <w:t>号</w:t>
      </w:r>
      <w:r w:rsidRPr="004067A3">
        <w:rPr>
          <w:rFonts w:eastAsia="仿宋_GB2312"/>
          <w:kern w:val="0"/>
          <w:sz w:val="32"/>
          <w:szCs w:val="32"/>
        </w:rPr>
        <w:t xml:space="preserve">[Z], </w:t>
      </w:r>
      <w:r w:rsidRPr="004067A3">
        <w:rPr>
          <w:rFonts w:eastAsia="仿宋_GB2312"/>
          <w:sz w:val="32"/>
          <w:szCs w:val="32"/>
        </w:rPr>
        <w:t>2021.8.</w:t>
      </w:r>
    </w:p>
    <w:p w:rsidR="004067A3" w:rsidRPr="004067A3" w:rsidRDefault="004067A3" w:rsidP="004067A3">
      <w:pPr>
        <w:widowControl/>
        <w:spacing w:line="520" w:lineRule="exact"/>
        <w:ind w:firstLineChars="200" w:firstLine="640"/>
        <w:rPr>
          <w:rFonts w:eastAsia="仿宋_GB2312"/>
          <w:sz w:val="32"/>
          <w:szCs w:val="32"/>
        </w:rPr>
      </w:pPr>
      <w:r w:rsidRPr="004067A3">
        <w:rPr>
          <w:rFonts w:eastAsia="仿宋_GB2312"/>
          <w:kern w:val="0"/>
          <w:sz w:val="32"/>
          <w:szCs w:val="32"/>
        </w:rPr>
        <w:t xml:space="preserve">[2] </w:t>
      </w:r>
      <w:r w:rsidRPr="004067A3">
        <w:rPr>
          <w:rFonts w:eastAsia="仿宋_GB2312"/>
          <w:kern w:val="0"/>
          <w:sz w:val="32"/>
          <w:szCs w:val="32"/>
        </w:rPr>
        <w:t>原国家食品药品监督管理总局</w:t>
      </w:r>
      <w:r w:rsidRPr="004067A3">
        <w:rPr>
          <w:rFonts w:eastAsia="仿宋_GB2312"/>
          <w:sz w:val="32"/>
          <w:szCs w:val="32"/>
        </w:rPr>
        <w:t xml:space="preserve">. </w:t>
      </w:r>
      <w:r w:rsidRPr="004067A3">
        <w:rPr>
          <w:rFonts w:eastAsia="仿宋_GB2312"/>
          <w:sz w:val="32"/>
          <w:szCs w:val="32"/>
        </w:rPr>
        <w:t>医疗器械说明书和标签管理规定</w:t>
      </w:r>
      <w:r w:rsidRPr="004067A3">
        <w:rPr>
          <w:rFonts w:eastAsia="仿宋_GB2312"/>
          <w:sz w:val="32"/>
          <w:szCs w:val="32"/>
        </w:rPr>
        <w:t xml:space="preserve">: </w:t>
      </w:r>
      <w:r w:rsidRPr="004067A3">
        <w:rPr>
          <w:rFonts w:eastAsia="仿宋_GB2312"/>
          <w:kern w:val="0"/>
          <w:sz w:val="32"/>
          <w:szCs w:val="32"/>
        </w:rPr>
        <w:t>国家食品药品监督管理</w:t>
      </w:r>
      <w:r w:rsidRPr="004067A3">
        <w:rPr>
          <w:rFonts w:eastAsia="仿宋_GB2312"/>
          <w:sz w:val="32"/>
          <w:szCs w:val="32"/>
        </w:rPr>
        <w:t>总局令第</w:t>
      </w:r>
      <w:r w:rsidRPr="004067A3">
        <w:rPr>
          <w:rFonts w:eastAsia="仿宋_GB2312"/>
          <w:sz w:val="32"/>
          <w:szCs w:val="32"/>
        </w:rPr>
        <w:t>6</w:t>
      </w:r>
      <w:r w:rsidRPr="004067A3">
        <w:rPr>
          <w:rFonts w:eastAsia="仿宋_GB2312"/>
          <w:sz w:val="32"/>
          <w:szCs w:val="32"/>
        </w:rPr>
        <w:t>号</w:t>
      </w:r>
      <w:r w:rsidRPr="004067A3">
        <w:rPr>
          <w:rFonts w:eastAsia="仿宋_GB2312"/>
          <w:kern w:val="0"/>
          <w:sz w:val="32"/>
          <w:szCs w:val="32"/>
        </w:rPr>
        <w:t xml:space="preserve">[Z], </w:t>
      </w:r>
      <w:r w:rsidRPr="004067A3">
        <w:rPr>
          <w:rFonts w:eastAsia="仿宋_GB2312"/>
          <w:sz w:val="32"/>
          <w:szCs w:val="32"/>
        </w:rPr>
        <w:t>2014.7.</w:t>
      </w:r>
    </w:p>
    <w:p w:rsidR="004067A3" w:rsidRPr="004067A3" w:rsidRDefault="004067A3" w:rsidP="004067A3">
      <w:pPr>
        <w:widowControl/>
        <w:spacing w:line="520" w:lineRule="exact"/>
        <w:ind w:firstLineChars="200" w:firstLine="640"/>
        <w:rPr>
          <w:rFonts w:eastAsia="仿宋_GB2312"/>
          <w:sz w:val="32"/>
          <w:szCs w:val="32"/>
        </w:rPr>
      </w:pPr>
      <w:r w:rsidRPr="004067A3">
        <w:rPr>
          <w:rFonts w:eastAsia="仿宋_GB2312"/>
          <w:kern w:val="0"/>
          <w:sz w:val="32"/>
          <w:szCs w:val="32"/>
        </w:rPr>
        <w:lastRenderedPageBreak/>
        <w:t xml:space="preserve">[3] </w:t>
      </w:r>
      <w:r w:rsidRPr="004067A3">
        <w:rPr>
          <w:rFonts w:eastAsia="仿宋_GB2312"/>
          <w:sz w:val="32"/>
          <w:szCs w:val="32"/>
        </w:rPr>
        <w:t>国家市场监督管理总局</w:t>
      </w:r>
      <w:r w:rsidRPr="004067A3">
        <w:rPr>
          <w:rFonts w:eastAsia="仿宋_GB2312"/>
          <w:sz w:val="32"/>
          <w:szCs w:val="32"/>
        </w:rPr>
        <w:t xml:space="preserve">. </w:t>
      </w:r>
      <w:r w:rsidRPr="004067A3">
        <w:rPr>
          <w:rFonts w:eastAsia="仿宋_GB2312"/>
          <w:sz w:val="32"/>
          <w:szCs w:val="32"/>
        </w:rPr>
        <w:t>医疗器械注册申报资料要求和批准证明文件格式</w:t>
      </w:r>
      <w:r w:rsidRPr="004067A3">
        <w:rPr>
          <w:rFonts w:eastAsia="仿宋_GB2312"/>
          <w:sz w:val="32"/>
          <w:szCs w:val="32"/>
        </w:rPr>
        <w:t xml:space="preserve">: </w:t>
      </w:r>
      <w:r w:rsidRPr="004067A3">
        <w:rPr>
          <w:rFonts w:eastAsia="仿宋_GB2312"/>
          <w:sz w:val="32"/>
          <w:szCs w:val="32"/>
        </w:rPr>
        <w:t>国家市场监督管理总局</w:t>
      </w:r>
      <w:r w:rsidRPr="004067A3">
        <w:rPr>
          <w:rFonts w:eastAsia="仿宋_GB2312"/>
          <w:kern w:val="0"/>
          <w:sz w:val="32"/>
          <w:szCs w:val="32"/>
        </w:rPr>
        <w:t>2021</w:t>
      </w:r>
      <w:r w:rsidRPr="004067A3">
        <w:rPr>
          <w:rFonts w:eastAsia="仿宋_GB2312"/>
          <w:kern w:val="0"/>
          <w:sz w:val="32"/>
          <w:szCs w:val="32"/>
        </w:rPr>
        <w:t>年第</w:t>
      </w:r>
      <w:r w:rsidRPr="004067A3">
        <w:rPr>
          <w:rFonts w:eastAsia="仿宋_GB2312"/>
          <w:kern w:val="0"/>
          <w:sz w:val="32"/>
          <w:szCs w:val="32"/>
        </w:rPr>
        <w:t>121</w:t>
      </w:r>
      <w:r w:rsidRPr="004067A3">
        <w:rPr>
          <w:rFonts w:eastAsia="仿宋_GB2312"/>
          <w:kern w:val="0"/>
          <w:sz w:val="32"/>
          <w:szCs w:val="32"/>
        </w:rPr>
        <w:t>号公告</w:t>
      </w:r>
      <w:r w:rsidRPr="004067A3">
        <w:rPr>
          <w:rFonts w:eastAsia="仿宋_GB2312"/>
          <w:kern w:val="0"/>
          <w:sz w:val="32"/>
          <w:szCs w:val="32"/>
        </w:rPr>
        <w:t xml:space="preserve">[Z], </w:t>
      </w:r>
      <w:r w:rsidRPr="004067A3">
        <w:rPr>
          <w:rFonts w:eastAsia="仿宋_GB2312"/>
          <w:sz w:val="32"/>
          <w:szCs w:val="32"/>
        </w:rPr>
        <w:t>2021.9.</w:t>
      </w:r>
    </w:p>
    <w:p w:rsidR="004067A3" w:rsidRPr="004067A3" w:rsidRDefault="004067A3" w:rsidP="004067A3">
      <w:pPr>
        <w:widowControl/>
        <w:overflowPunct w:val="0"/>
        <w:spacing w:line="520" w:lineRule="exact"/>
        <w:ind w:firstLineChars="200" w:firstLine="640"/>
        <w:rPr>
          <w:rFonts w:eastAsia="仿宋_GB2312"/>
          <w:kern w:val="0"/>
          <w:sz w:val="32"/>
          <w:szCs w:val="32"/>
        </w:rPr>
      </w:pPr>
      <w:r w:rsidRPr="004067A3">
        <w:rPr>
          <w:rFonts w:eastAsia="仿宋_GB2312"/>
          <w:kern w:val="0"/>
          <w:sz w:val="32"/>
          <w:szCs w:val="32"/>
        </w:rPr>
        <w:t xml:space="preserve">[4] </w:t>
      </w:r>
      <w:r w:rsidRPr="004067A3">
        <w:rPr>
          <w:rFonts w:eastAsia="仿宋_GB2312"/>
          <w:kern w:val="0"/>
          <w:sz w:val="32"/>
          <w:szCs w:val="32"/>
        </w:rPr>
        <w:t>国家药品监督管理局</w:t>
      </w:r>
      <w:r w:rsidRPr="004067A3">
        <w:rPr>
          <w:rFonts w:eastAsia="仿宋_GB2312"/>
          <w:kern w:val="0"/>
          <w:sz w:val="32"/>
          <w:szCs w:val="32"/>
        </w:rPr>
        <w:t xml:space="preserve">. </w:t>
      </w:r>
      <w:r w:rsidRPr="004067A3">
        <w:rPr>
          <w:rFonts w:eastAsia="仿宋_GB2312"/>
          <w:kern w:val="0"/>
          <w:sz w:val="32"/>
          <w:szCs w:val="32"/>
        </w:rPr>
        <w:t>医用软件通用名称命名指导原则</w:t>
      </w:r>
      <w:r w:rsidRPr="004067A3">
        <w:rPr>
          <w:rFonts w:eastAsia="仿宋_GB2312"/>
          <w:kern w:val="0"/>
          <w:sz w:val="32"/>
          <w:szCs w:val="32"/>
        </w:rPr>
        <w:t xml:space="preserve">: </w:t>
      </w:r>
      <w:r w:rsidRPr="004067A3">
        <w:rPr>
          <w:rFonts w:eastAsia="仿宋_GB2312"/>
          <w:kern w:val="0"/>
          <w:sz w:val="32"/>
          <w:szCs w:val="32"/>
        </w:rPr>
        <w:t>国家药品监督管理局</w:t>
      </w:r>
      <w:r w:rsidRPr="004067A3">
        <w:rPr>
          <w:rFonts w:eastAsia="仿宋_GB2312"/>
          <w:kern w:val="0"/>
          <w:sz w:val="32"/>
          <w:szCs w:val="32"/>
        </w:rPr>
        <w:t>2021</w:t>
      </w:r>
      <w:r w:rsidRPr="004067A3">
        <w:rPr>
          <w:rFonts w:eastAsia="仿宋_GB2312"/>
          <w:kern w:val="0"/>
          <w:sz w:val="32"/>
          <w:szCs w:val="32"/>
        </w:rPr>
        <w:t>年第</w:t>
      </w:r>
      <w:r w:rsidRPr="004067A3">
        <w:rPr>
          <w:rFonts w:eastAsia="仿宋_GB2312"/>
          <w:kern w:val="0"/>
          <w:sz w:val="32"/>
          <w:szCs w:val="32"/>
        </w:rPr>
        <w:t>48</w:t>
      </w:r>
      <w:r w:rsidRPr="004067A3">
        <w:rPr>
          <w:rFonts w:eastAsia="仿宋_GB2312"/>
          <w:kern w:val="0"/>
          <w:sz w:val="32"/>
          <w:szCs w:val="32"/>
        </w:rPr>
        <w:t>号通告</w:t>
      </w:r>
      <w:r w:rsidRPr="004067A3">
        <w:rPr>
          <w:rFonts w:eastAsia="仿宋_GB2312"/>
          <w:kern w:val="0"/>
          <w:sz w:val="32"/>
          <w:szCs w:val="32"/>
        </w:rPr>
        <w:t>[Z], 2021.7.</w:t>
      </w:r>
    </w:p>
    <w:p w:rsidR="004067A3" w:rsidRPr="004067A3" w:rsidRDefault="004067A3" w:rsidP="004067A3">
      <w:pPr>
        <w:widowControl/>
        <w:spacing w:line="520" w:lineRule="exact"/>
        <w:ind w:firstLineChars="200" w:firstLine="640"/>
        <w:rPr>
          <w:rFonts w:eastAsia="仿宋_GB2312"/>
          <w:kern w:val="0"/>
          <w:sz w:val="32"/>
          <w:szCs w:val="32"/>
        </w:rPr>
      </w:pPr>
      <w:r w:rsidRPr="004067A3">
        <w:rPr>
          <w:rFonts w:eastAsia="仿宋_GB2312"/>
          <w:kern w:val="0"/>
          <w:sz w:val="32"/>
          <w:szCs w:val="32"/>
        </w:rPr>
        <w:t xml:space="preserve">[5] </w:t>
      </w:r>
      <w:r w:rsidRPr="004067A3">
        <w:rPr>
          <w:rFonts w:eastAsia="仿宋_GB2312"/>
          <w:kern w:val="0"/>
          <w:sz w:val="32"/>
          <w:szCs w:val="32"/>
        </w:rPr>
        <w:t>国家药品监督管理局</w:t>
      </w:r>
      <w:r w:rsidRPr="004067A3">
        <w:rPr>
          <w:rFonts w:eastAsia="仿宋_GB2312"/>
          <w:kern w:val="0"/>
          <w:sz w:val="32"/>
          <w:szCs w:val="32"/>
        </w:rPr>
        <w:t xml:space="preserve">. </w:t>
      </w:r>
      <w:r w:rsidRPr="004067A3">
        <w:rPr>
          <w:rFonts w:eastAsia="仿宋_GB2312"/>
          <w:kern w:val="0"/>
          <w:sz w:val="32"/>
          <w:szCs w:val="32"/>
        </w:rPr>
        <w:t>医疗器械临床评价技术指导原则</w:t>
      </w:r>
      <w:r w:rsidRPr="004067A3">
        <w:rPr>
          <w:rFonts w:eastAsia="仿宋_GB2312"/>
          <w:kern w:val="0"/>
          <w:sz w:val="32"/>
          <w:szCs w:val="32"/>
        </w:rPr>
        <w:t xml:space="preserve">: </w:t>
      </w:r>
      <w:r w:rsidRPr="004067A3">
        <w:rPr>
          <w:rFonts w:eastAsia="仿宋_GB2312"/>
          <w:kern w:val="0"/>
          <w:sz w:val="32"/>
          <w:szCs w:val="32"/>
        </w:rPr>
        <w:t>国家药品监督管理局</w:t>
      </w:r>
      <w:r w:rsidRPr="004067A3">
        <w:rPr>
          <w:rFonts w:eastAsia="仿宋_GB2312"/>
          <w:kern w:val="0"/>
          <w:sz w:val="32"/>
          <w:szCs w:val="32"/>
        </w:rPr>
        <w:t>2021</w:t>
      </w:r>
      <w:r w:rsidRPr="004067A3">
        <w:rPr>
          <w:rFonts w:eastAsia="仿宋_GB2312"/>
          <w:kern w:val="0"/>
          <w:sz w:val="32"/>
          <w:szCs w:val="32"/>
        </w:rPr>
        <w:t>年第</w:t>
      </w:r>
      <w:r w:rsidRPr="004067A3">
        <w:rPr>
          <w:rFonts w:eastAsia="仿宋_GB2312"/>
          <w:kern w:val="0"/>
          <w:sz w:val="32"/>
          <w:szCs w:val="32"/>
        </w:rPr>
        <w:t>73</w:t>
      </w:r>
      <w:r w:rsidRPr="004067A3">
        <w:rPr>
          <w:rFonts w:eastAsia="仿宋_GB2312"/>
          <w:kern w:val="0"/>
          <w:sz w:val="32"/>
          <w:szCs w:val="32"/>
        </w:rPr>
        <w:t>号通告</w:t>
      </w:r>
      <w:r w:rsidRPr="004067A3">
        <w:rPr>
          <w:rFonts w:eastAsia="仿宋_GB2312"/>
          <w:kern w:val="0"/>
          <w:sz w:val="32"/>
          <w:szCs w:val="32"/>
        </w:rPr>
        <w:t>[Z], 2021.9.</w:t>
      </w:r>
    </w:p>
    <w:p w:rsidR="004067A3" w:rsidRPr="004067A3" w:rsidRDefault="004067A3" w:rsidP="004067A3">
      <w:pPr>
        <w:overflowPunct w:val="0"/>
        <w:spacing w:line="520" w:lineRule="exact"/>
        <w:ind w:firstLineChars="200" w:firstLine="640"/>
        <w:rPr>
          <w:rFonts w:eastAsia="仿宋_GB2312"/>
          <w:sz w:val="32"/>
          <w:szCs w:val="32"/>
        </w:rPr>
      </w:pPr>
      <w:r w:rsidRPr="004067A3">
        <w:rPr>
          <w:rFonts w:eastAsia="仿宋_GB2312"/>
          <w:kern w:val="0"/>
          <w:sz w:val="32"/>
          <w:szCs w:val="32"/>
        </w:rPr>
        <w:t xml:space="preserve">[6] </w:t>
      </w:r>
      <w:r w:rsidRPr="004067A3">
        <w:rPr>
          <w:rFonts w:eastAsia="仿宋_GB2312"/>
          <w:sz w:val="32"/>
          <w:szCs w:val="32"/>
        </w:rPr>
        <w:t>原</w:t>
      </w:r>
      <w:r w:rsidRPr="004067A3">
        <w:rPr>
          <w:rFonts w:eastAsia="仿宋_GB2312"/>
          <w:kern w:val="0"/>
          <w:sz w:val="32"/>
          <w:szCs w:val="32"/>
        </w:rPr>
        <w:t>国家食品药品监督管理总局</w:t>
      </w:r>
      <w:r w:rsidRPr="004067A3">
        <w:rPr>
          <w:rFonts w:eastAsia="仿宋_GB2312"/>
          <w:sz w:val="32"/>
          <w:szCs w:val="32"/>
        </w:rPr>
        <w:t xml:space="preserve">. </w:t>
      </w:r>
      <w:r w:rsidRPr="004067A3">
        <w:rPr>
          <w:rFonts w:eastAsia="仿宋_GB2312"/>
          <w:kern w:val="0"/>
          <w:sz w:val="32"/>
          <w:szCs w:val="32"/>
        </w:rPr>
        <w:t>医学图像存储传输软件（</w:t>
      </w:r>
      <w:r w:rsidRPr="004067A3">
        <w:rPr>
          <w:rFonts w:eastAsia="仿宋_GB2312"/>
          <w:kern w:val="0"/>
          <w:sz w:val="32"/>
          <w:szCs w:val="32"/>
        </w:rPr>
        <w:t>PACS</w:t>
      </w:r>
      <w:r w:rsidRPr="004067A3">
        <w:rPr>
          <w:rFonts w:eastAsia="仿宋_GB2312"/>
          <w:kern w:val="0"/>
          <w:sz w:val="32"/>
          <w:szCs w:val="32"/>
        </w:rPr>
        <w:t>）注册技术审查指导原则</w:t>
      </w:r>
      <w:r w:rsidRPr="004067A3">
        <w:rPr>
          <w:rFonts w:eastAsia="仿宋_GB2312"/>
          <w:kern w:val="0"/>
          <w:sz w:val="32"/>
          <w:szCs w:val="32"/>
        </w:rPr>
        <w:t xml:space="preserve">: </w:t>
      </w:r>
      <w:r w:rsidRPr="004067A3">
        <w:rPr>
          <w:rFonts w:eastAsia="仿宋_GB2312"/>
          <w:kern w:val="0"/>
          <w:sz w:val="32"/>
          <w:szCs w:val="32"/>
        </w:rPr>
        <w:t>国家食品药品监督管理</w:t>
      </w:r>
      <w:r w:rsidRPr="004067A3">
        <w:rPr>
          <w:rFonts w:eastAsia="仿宋_GB2312"/>
          <w:sz w:val="32"/>
          <w:szCs w:val="32"/>
        </w:rPr>
        <w:t>总局</w:t>
      </w:r>
      <w:r w:rsidRPr="004067A3">
        <w:rPr>
          <w:rFonts w:eastAsia="仿宋_GB2312"/>
          <w:kern w:val="0"/>
          <w:sz w:val="32"/>
          <w:szCs w:val="32"/>
        </w:rPr>
        <w:t>2016</w:t>
      </w:r>
      <w:r w:rsidRPr="004067A3">
        <w:rPr>
          <w:rFonts w:eastAsia="仿宋_GB2312"/>
          <w:kern w:val="0"/>
          <w:sz w:val="32"/>
          <w:szCs w:val="32"/>
        </w:rPr>
        <w:t>年第</w:t>
      </w:r>
      <w:r w:rsidRPr="004067A3">
        <w:rPr>
          <w:rFonts w:eastAsia="仿宋_GB2312"/>
          <w:kern w:val="0"/>
          <w:sz w:val="32"/>
          <w:szCs w:val="32"/>
        </w:rPr>
        <w:t>27</w:t>
      </w:r>
      <w:r w:rsidRPr="004067A3">
        <w:rPr>
          <w:rFonts w:eastAsia="仿宋_GB2312"/>
          <w:kern w:val="0"/>
          <w:sz w:val="32"/>
          <w:szCs w:val="32"/>
        </w:rPr>
        <w:t>号通告</w:t>
      </w:r>
      <w:r w:rsidRPr="004067A3">
        <w:rPr>
          <w:rFonts w:eastAsia="仿宋_GB2312"/>
          <w:kern w:val="0"/>
          <w:sz w:val="32"/>
          <w:szCs w:val="32"/>
        </w:rPr>
        <w:t xml:space="preserve">[Z], </w:t>
      </w:r>
      <w:r w:rsidRPr="004067A3">
        <w:rPr>
          <w:rFonts w:eastAsia="仿宋_GB2312"/>
          <w:sz w:val="32"/>
          <w:szCs w:val="32"/>
        </w:rPr>
        <w:t>2016.3.</w:t>
      </w:r>
    </w:p>
    <w:p w:rsidR="004067A3" w:rsidRPr="004067A3" w:rsidRDefault="004067A3" w:rsidP="004067A3">
      <w:pPr>
        <w:overflowPunct w:val="0"/>
        <w:spacing w:line="520" w:lineRule="exact"/>
        <w:ind w:firstLineChars="200" w:firstLine="640"/>
        <w:rPr>
          <w:rFonts w:eastAsia="仿宋_GB2312"/>
          <w:kern w:val="0"/>
          <w:sz w:val="32"/>
          <w:szCs w:val="32"/>
        </w:rPr>
      </w:pPr>
      <w:r w:rsidRPr="004067A3">
        <w:rPr>
          <w:rFonts w:eastAsia="仿宋_GB2312"/>
          <w:kern w:val="0"/>
          <w:sz w:val="32"/>
          <w:szCs w:val="32"/>
        </w:rPr>
        <w:t xml:space="preserve">[7] </w:t>
      </w:r>
      <w:r w:rsidRPr="004067A3">
        <w:rPr>
          <w:rFonts w:eastAsia="仿宋_GB2312"/>
          <w:kern w:val="0"/>
          <w:sz w:val="32"/>
          <w:szCs w:val="32"/>
        </w:rPr>
        <w:t>原国家食品药品监督管理总局</w:t>
      </w:r>
      <w:r w:rsidRPr="004067A3">
        <w:rPr>
          <w:rFonts w:eastAsia="仿宋_GB2312"/>
          <w:kern w:val="0"/>
          <w:sz w:val="32"/>
          <w:szCs w:val="32"/>
        </w:rPr>
        <w:t xml:space="preserve">. </w:t>
      </w:r>
      <w:r w:rsidRPr="004067A3">
        <w:rPr>
          <w:rFonts w:eastAsia="仿宋_GB2312"/>
          <w:kern w:val="0"/>
          <w:sz w:val="32"/>
          <w:szCs w:val="32"/>
        </w:rPr>
        <w:t>医疗器械注册单元划分指导原则</w:t>
      </w:r>
      <w:r w:rsidRPr="004067A3">
        <w:rPr>
          <w:rFonts w:eastAsia="仿宋_GB2312"/>
          <w:kern w:val="0"/>
          <w:sz w:val="32"/>
          <w:szCs w:val="32"/>
        </w:rPr>
        <w:t xml:space="preserve">: </w:t>
      </w:r>
      <w:r w:rsidRPr="004067A3">
        <w:rPr>
          <w:rFonts w:eastAsia="仿宋_GB2312"/>
          <w:kern w:val="0"/>
          <w:sz w:val="32"/>
          <w:szCs w:val="32"/>
        </w:rPr>
        <w:t>国家食品药品监督管理总局</w:t>
      </w:r>
      <w:r w:rsidRPr="004067A3">
        <w:rPr>
          <w:rFonts w:eastAsia="仿宋_GB2312"/>
          <w:kern w:val="0"/>
          <w:sz w:val="32"/>
          <w:szCs w:val="32"/>
        </w:rPr>
        <w:t>2017</w:t>
      </w:r>
      <w:r w:rsidRPr="004067A3">
        <w:rPr>
          <w:rFonts w:eastAsia="仿宋_GB2312"/>
          <w:kern w:val="0"/>
          <w:sz w:val="32"/>
          <w:szCs w:val="32"/>
        </w:rPr>
        <w:t>年第</w:t>
      </w:r>
      <w:r w:rsidRPr="004067A3">
        <w:rPr>
          <w:rFonts w:eastAsia="仿宋_GB2312"/>
          <w:kern w:val="0"/>
          <w:sz w:val="32"/>
          <w:szCs w:val="32"/>
        </w:rPr>
        <w:t>187</w:t>
      </w:r>
      <w:r w:rsidRPr="004067A3">
        <w:rPr>
          <w:rFonts w:eastAsia="仿宋_GB2312"/>
          <w:kern w:val="0"/>
          <w:sz w:val="32"/>
          <w:szCs w:val="32"/>
        </w:rPr>
        <w:t>号通告</w:t>
      </w:r>
      <w:r w:rsidRPr="004067A3">
        <w:rPr>
          <w:rFonts w:eastAsia="仿宋_GB2312"/>
          <w:kern w:val="0"/>
          <w:sz w:val="32"/>
          <w:szCs w:val="32"/>
        </w:rPr>
        <w:t>[Z], 2017.11.</w:t>
      </w:r>
    </w:p>
    <w:p w:rsidR="004067A3" w:rsidRPr="004067A3" w:rsidRDefault="004067A3" w:rsidP="004067A3">
      <w:pPr>
        <w:overflowPunct w:val="0"/>
        <w:spacing w:line="520" w:lineRule="exact"/>
        <w:ind w:firstLineChars="200" w:firstLine="640"/>
        <w:rPr>
          <w:rFonts w:eastAsia="仿宋_GB2312"/>
          <w:sz w:val="32"/>
          <w:szCs w:val="32"/>
        </w:rPr>
      </w:pPr>
      <w:r w:rsidRPr="004067A3">
        <w:rPr>
          <w:rFonts w:eastAsia="仿宋_GB2312"/>
          <w:kern w:val="0"/>
          <w:sz w:val="32"/>
          <w:szCs w:val="32"/>
        </w:rPr>
        <w:t xml:space="preserve">[8] </w:t>
      </w:r>
      <w:r w:rsidRPr="004067A3">
        <w:rPr>
          <w:rFonts w:eastAsia="仿宋_GB2312"/>
          <w:sz w:val="32"/>
          <w:szCs w:val="32"/>
        </w:rPr>
        <w:t>原</w:t>
      </w:r>
      <w:r w:rsidRPr="004067A3">
        <w:rPr>
          <w:rFonts w:eastAsia="仿宋_GB2312"/>
          <w:kern w:val="0"/>
          <w:sz w:val="32"/>
          <w:szCs w:val="32"/>
        </w:rPr>
        <w:t>国家食品药品监督管理总局</w:t>
      </w:r>
      <w:r w:rsidRPr="004067A3">
        <w:rPr>
          <w:rFonts w:eastAsia="仿宋_GB2312"/>
          <w:sz w:val="32"/>
          <w:szCs w:val="32"/>
        </w:rPr>
        <w:t xml:space="preserve">. </w:t>
      </w:r>
      <w:r w:rsidRPr="004067A3">
        <w:rPr>
          <w:rFonts w:eastAsia="仿宋_GB2312"/>
          <w:kern w:val="0"/>
          <w:sz w:val="32"/>
          <w:szCs w:val="32"/>
        </w:rPr>
        <w:t>中央监护软件注册技术审查指导原则</w:t>
      </w:r>
      <w:r w:rsidRPr="004067A3">
        <w:rPr>
          <w:rFonts w:eastAsia="仿宋_GB2312"/>
          <w:kern w:val="0"/>
          <w:sz w:val="32"/>
          <w:szCs w:val="32"/>
        </w:rPr>
        <w:t xml:space="preserve">: </w:t>
      </w:r>
      <w:r w:rsidRPr="004067A3">
        <w:rPr>
          <w:rFonts w:eastAsia="仿宋_GB2312"/>
          <w:kern w:val="0"/>
          <w:sz w:val="32"/>
          <w:szCs w:val="32"/>
        </w:rPr>
        <w:t>国家食品药品监督管理</w:t>
      </w:r>
      <w:r w:rsidRPr="004067A3">
        <w:rPr>
          <w:rFonts w:eastAsia="仿宋_GB2312"/>
          <w:sz w:val="32"/>
          <w:szCs w:val="32"/>
        </w:rPr>
        <w:t>总局</w:t>
      </w:r>
      <w:r w:rsidRPr="004067A3">
        <w:rPr>
          <w:rFonts w:eastAsia="仿宋_GB2312"/>
          <w:kern w:val="0"/>
          <w:sz w:val="32"/>
          <w:szCs w:val="32"/>
        </w:rPr>
        <w:t>2017</w:t>
      </w:r>
      <w:r w:rsidRPr="004067A3">
        <w:rPr>
          <w:rFonts w:eastAsia="仿宋_GB2312"/>
          <w:kern w:val="0"/>
          <w:sz w:val="32"/>
          <w:szCs w:val="32"/>
        </w:rPr>
        <w:t>年第</w:t>
      </w:r>
      <w:r w:rsidRPr="004067A3">
        <w:rPr>
          <w:rFonts w:eastAsia="仿宋_GB2312"/>
          <w:kern w:val="0"/>
          <w:sz w:val="32"/>
          <w:szCs w:val="32"/>
        </w:rPr>
        <w:t>198</w:t>
      </w:r>
      <w:r w:rsidRPr="004067A3">
        <w:rPr>
          <w:rFonts w:eastAsia="仿宋_GB2312"/>
          <w:kern w:val="0"/>
          <w:sz w:val="32"/>
          <w:szCs w:val="32"/>
        </w:rPr>
        <w:t>号通告</w:t>
      </w:r>
      <w:r w:rsidRPr="004067A3">
        <w:rPr>
          <w:rFonts w:eastAsia="仿宋_GB2312"/>
          <w:kern w:val="0"/>
          <w:sz w:val="32"/>
          <w:szCs w:val="32"/>
        </w:rPr>
        <w:t xml:space="preserve">[Z], </w:t>
      </w:r>
      <w:r w:rsidRPr="004067A3">
        <w:rPr>
          <w:rFonts w:eastAsia="仿宋_GB2312"/>
          <w:sz w:val="32"/>
          <w:szCs w:val="32"/>
        </w:rPr>
        <w:t>2017.12.</w:t>
      </w:r>
    </w:p>
    <w:p w:rsidR="004067A3" w:rsidRPr="004067A3" w:rsidRDefault="004067A3" w:rsidP="004067A3">
      <w:pPr>
        <w:overflowPunct w:val="0"/>
        <w:spacing w:line="520" w:lineRule="exact"/>
        <w:ind w:firstLineChars="200" w:firstLine="640"/>
        <w:rPr>
          <w:rFonts w:eastAsia="仿宋_GB2312"/>
          <w:sz w:val="32"/>
          <w:szCs w:val="32"/>
        </w:rPr>
      </w:pPr>
      <w:r w:rsidRPr="004067A3">
        <w:rPr>
          <w:rFonts w:eastAsia="仿宋_GB2312"/>
          <w:kern w:val="0"/>
          <w:sz w:val="32"/>
          <w:szCs w:val="32"/>
        </w:rPr>
        <w:t xml:space="preserve">[9] </w:t>
      </w:r>
      <w:r w:rsidRPr="004067A3">
        <w:rPr>
          <w:rFonts w:eastAsia="仿宋_GB2312"/>
          <w:sz w:val="32"/>
          <w:szCs w:val="32"/>
        </w:rPr>
        <w:t>原</w:t>
      </w:r>
      <w:r w:rsidRPr="004067A3">
        <w:rPr>
          <w:rFonts w:eastAsia="仿宋_GB2312"/>
          <w:kern w:val="0"/>
          <w:sz w:val="32"/>
          <w:szCs w:val="32"/>
        </w:rPr>
        <w:t>国家食品药品监督管理总局</w:t>
      </w:r>
      <w:r w:rsidRPr="004067A3">
        <w:rPr>
          <w:rFonts w:eastAsia="仿宋_GB2312"/>
          <w:sz w:val="32"/>
          <w:szCs w:val="32"/>
        </w:rPr>
        <w:t xml:space="preserve">. </w:t>
      </w:r>
      <w:r w:rsidRPr="004067A3">
        <w:rPr>
          <w:rFonts w:eastAsia="仿宋_GB2312"/>
          <w:kern w:val="0"/>
          <w:sz w:val="32"/>
          <w:szCs w:val="32"/>
        </w:rPr>
        <w:t>移动医疗器械注册技术审查指导原则</w:t>
      </w:r>
      <w:r w:rsidRPr="004067A3">
        <w:rPr>
          <w:rFonts w:eastAsia="仿宋_GB2312"/>
          <w:kern w:val="0"/>
          <w:sz w:val="32"/>
          <w:szCs w:val="32"/>
        </w:rPr>
        <w:t xml:space="preserve">: </w:t>
      </w:r>
      <w:r w:rsidRPr="004067A3">
        <w:rPr>
          <w:rFonts w:eastAsia="仿宋_GB2312"/>
          <w:kern w:val="0"/>
          <w:sz w:val="32"/>
          <w:szCs w:val="32"/>
        </w:rPr>
        <w:t>国家食品药品监督管理</w:t>
      </w:r>
      <w:r w:rsidRPr="004067A3">
        <w:rPr>
          <w:rFonts w:eastAsia="仿宋_GB2312"/>
          <w:sz w:val="32"/>
          <w:szCs w:val="32"/>
        </w:rPr>
        <w:t>总局</w:t>
      </w:r>
      <w:r w:rsidRPr="004067A3">
        <w:rPr>
          <w:rFonts w:eastAsia="仿宋_GB2312"/>
          <w:kern w:val="0"/>
          <w:sz w:val="32"/>
          <w:szCs w:val="32"/>
        </w:rPr>
        <w:t>2017</w:t>
      </w:r>
      <w:r w:rsidRPr="004067A3">
        <w:rPr>
          <w:rFonts w:eastAsia="仿宋_GB2312"/>
          <w:kern w:val="0"/>
          <w:sz w:val="32"/>
          <w:szCs w:val="32"/>
        </w:rPr>
        <w:t>年第</w:t>
      </w:r>
      <w:r w:rsidRPr="004067A3">
        <w:rPr>
          <w:rFonts w:eastAsia="仿宋_GB2312"/>
          <w:kern w:val="0"/>
          <w:sz w:val="32"/>
          <w:szCs w:val="32"/>
        </w:rPr>
        <w:t>222</w:t>
      </w:r>
      <w:r w:rsidRPr="004067A3">
        <w:rPr>
          <w:rFonts w:eastAsia="仿宋_GB2312"/>
          <w:kern w:val="0"/>
          <w:sz w:val="32"/>
          <w:szCs w:val="32"/>
        </w:rPr>
        <w:t>号通告</w:t>
      </w:r>
      <w:r w:rsidRPr="004067A3">
        <w:rPr>
          <w:rFonts w:eastAsia="仿宋_GB2312"/>
          <w:kern w:val="0"/>
          <w:sz w:val="32"/>
          <w:szCs w:val="32"/>
        </w:rPr>
        <w:t xml:space="preserve">[Z], </w:t>
      </w:r>
      <w:r w:rsidRPr="004067A3">
        <w:rPr>
          <w:rFonts w:eastAsia="仿宋_GB2312"/>
          <w:sz w:val="32"/>
          <w:szCs w:val="32"/>
        </w:rPr>
        <w:t>2017.12.</w:t>
      </w:r>
    </w:p>
    <w:p w:rsidR="004067A3" w:rsidRPr="004067A3" w:rsidRDefault="004067A3" w:rsidP="004067A3">
      <w:pPr>
        <w:overflowPunct w:val="0"/>
        <w:spacing w:line="520" w:lineRule="exact"/>
        <w:ind w:firstLineChars="200" w:firstLine="640"/>
        <w:rPr>
          <w:rFonts w:eastAsia="仿宋_GB2312"/>
          <w:kern w:val="0"/>
          <w:sz w:val="32"/>
          <w:szCs w:val="32"/>
        </w:rPr>
      </w:pPr>
      <w:r w:rsidRPr="004067A3">
        <w:rPr>
          <w:rFonts w:eastAsia="仿宋_GB2312"/>
          <w:kern w:val="0"/>
          <w:sz w:val="32"/>
          <w:szCs w:val="32"/>
        </w:rPr>
        <w:t xml:space="preserve">[10] </w:t>
      </w:r>
      <w:r w:rsidRPr="004067A3">
        <w:rPr>
          <w:rFonts w:eastAsia="仿宋_GB2312"/>
          <w:kern w:val="0"/>
          <w:sz w:val="32"/>
          <w:szCs w:val="32"/>
        </w:rPr>
        <w:t>国家药品监督管理局医疗器械技术审评中心</w:t>
      </w:r>
      <w:r w:rsidRPr="004067A3">
        <w:rPr>
          <w:rFonts w:eastAsia="仿宋_GB2312"/>
          <w:kern w:val="0"/>
          <w:sz w:val="32"/>
          <w:szCs w:val="32"/>
        </w:rPr>
        <w:t xml:space="preserve">. </w:t>
      </w:r>
      <w:r w:rsidRPr="004067A3">
        <w:rPr>
          <w:rFonts w:eastAsia="仿宋_GB2312"/>
          <w:kern w:val="0"/>
          <w:sz w:val="32"/>
          <w:szCs w:val="32"/>
        </w:rPr>
        <w:t>医疗器械网络安全注册审查指导原则（</w:t>
      </w:r>
      <w:r w:rsidRPr="004067A3">
        <w:rPr>
          <w:rFonts w:eastAsia="仿宋_GB2312"/>
          <w:kern w:val="0"/>
          <w:sz w:val="32"/>
          <w:szCs w:val="32"/>
        </w:rPr>
        <w:t>2022</w:t>
      </w:r>
      <w:r w:rsidRPr="004067A3">
        <w:rPr>
          <w:rFonts w:eastAsia="仿宋_GB2312"/>
          <w:kern w:val="0"/>
          <w:sz w:val="32"/>
          <w:szCs w:val="32"/>
        </w:rPr>
        <w:t>年修订版）</w:t>
      </w:r>
      <w:r w:rsidRPr="004067A3">
        <w:rPr>
          <w:rFonts w:eastAsia="仿宋_GB2312"/>
          <w:kern w:val="0"/>
          <w:sz w:val="32"/>
          <w:szCs w:val="32"/>
        </w:rPr>
        <w:t xml:space="preserve">: </w:t>
      </w:r>
      <w:r w:rsidRPr="004067A3">
        <w:rPr>
          <w:rFonts w:eastAsia="仿宋_GB2312"/>
          <w:kern w:val="0"/>
          <w:sz w:val="32"/>
          <w:szCs w:val="32"/>
        </w:rPr>
        <w:t>国家药监局器审中心</w:t>
      </w:r>
      <w:r w:rsidRPr="004067A3">
        <w:rPr>
          <w:rFonts w:eastAsia="仿宋_GB2312"/>
          <w:kern w:val="0"/>
          <w:sz w:val="32"/>
          <w:szCs w:val="32"/>
        </w:rPr>
        <w:t>2022</w:t>
      </w:r>
      <w:r w:rsidRPr="004067A3">
        <w:rPr>
          <w:rFonts w:eastAsia="仿宋_GB2312"/>
          <w:kern w:val="0"/>
          <w:sz w:val="32"/>
          <w:szCs w:val="32"/>
        </w:rPr>
        <w:t>年第</w:t>
      </w:r>
      <w:r w:rsidRPr="004067A3">
        <w:rPr>
          <w:rFonts w:eastAsia="仿宋_GB2312"/>
          <w:kern w:val="0"/>
          <w:sz w:val="32"/>
          <w:szCs w:val="32"/>
        </w:rPr>
        <w:t>7</w:t>
      </w:r>
      <w:r w:rsidRPr="004067A3">
        <w:rPr>
          <w:rFonts w:eastAsia="仿宋_GB2312"/>
          <w:kern w:val="0"/>
          <w:sz w:val="32"/>
          <w:szCs w:val="32"/>
        </w:rPr>
        <w:t>号通告</w:t>
      </w:r>
      <w:r w:rsidRPr="004067A3">
        <w:rPr>
          <w:rFonts w:eastAsia="仿宋_GB2312"/>
          <w:kern w:val="0"/>
          <w:sz w:val="32"/>
          <w:szCs w:val="32"/>
        </w:rPr>
        <w:t>[Z], 2022.3.</w:t>
      </w:r>
    </w:p>
    <w:p w:rsidR="004067A3" w:rsidRPr="004067A3" w:rsidRDefault="004067A3" w:rsidP="004067A3">
      <w:pPr>
        <w:overflowPunct w:val="0"/>
        <w:spacing w:line="520" w:lineRule="exact"/>
        <w:ind w:firstLineChars="200" w:firstLine="640"/>
        <w:rPr>
          <w:rFonts w:eastAsia="仿宋_GB2312"/>
          <w:kern w:val="0"/>
          <w:sz w:val="32"/>
          <w:szCs w:val="32"/>
        </w:rPr>
      </w:pPr>
      <w:r w:rsidRPr="004067A3">
        <w:rPr>
          <w:rFonts w:eastAsia="仿宋_GB2312"/>
          <w:kern w:val="0"/>
          <w:sz w:val="32"/>
          <w:szCs w:val="32"/>
        </w:rPr>
        <w:t xml:space="preserve">[11] </w:t>
      </w:r>
      <w:r w:rsidRPr="004067A3">
        <w:rPr>
          <w:rFonts w:eastAsia="仿宋_GB2312"/>
          <w:kern w:val="0"/>
          <w:sz w:val="32"/>
          <w:szCs w:val="32"/>
        </w:rPr>
        <w:t>国家药品监督管理局医疗器械技术审评中心</w:t>
      </w:r>
      <w:r w:rsidRPr="004067A3">
        <w:rPr>
          <w:rFonts w:eastAsia="仿宋_GB2312"/>
          <w:kern w:val="0"/>
          <w:sz w:val="32"/>
          <w:szCs w:val="32"/>
        </w:rPr>
        <w:t xml:space="preserve">. </w:t>
      </w:r>
      <w:r w:rsidRPr="004067A3">
        <w:rPr>
          <w:rFonts w:eastAsia="仿宋_GB2312"/>
          <w:kern w:val="0"/>
          <w:sz w:val="32"/>
          <w:szCs w:val="32"/>
        </w:rPr>
        <w:t>人工智能医疗器械注册审查指导原则</w:t>
      </w:r>
      <w:r w:rsidRPr="004067A3">
        <w:rPr>
          <w:rFonts w:eastAsia="仿宋_GB2312"/>
          <w:kern w:val="0"/>
          <w:sz w:val="32"/>
          <w:szCs w:val="32"/>
        </w:rPr>
        <w:t xml:space="preserve">: </w:t>
      </w:r>
      <w:r w:rsidRPr="004067A3">
        <w:rPr>
          <w:rFonts w:eastAsia="仿宋_GB2312"/>
          <w:kern w:val="0"/>
          <w:sz w:val="32"/>
          <w:szCs w:val="32"/>
        </w:rPr>
        <w:t>国家药监局器审中心</w:t>
      </w:r>
      <w:r w:rsidRPr="004067A3">
        <w:rPr>
          <w:rFonts w:eastAsia="仿宋_GB2312"/>
          <w:kern w:val="0"/>
          <w:sz w:val="32"/>
          <w:szCs w:val="32"/>
        </w:rPr>
        <w:t>2022</w:t>
      </w:r>
      <w:r w:rsidRPr="004067A3">
        <w:rPr>
          <w:rFonts w:eastAsia="仿宋_GB2312"/>
          <w:kern w:val="0"/>
          <w:sz w:val="32"/>
          <w:szCs w:val="32"/>
        </w:rPr>
        <w:t>年第</w:t>
      </w:r>
      <w:r w:rsidRPr="004067A3">
        <w:rPr>
          <w:rFonts w:eastAsia="仿宋_GB2312"/>
          <w:kern w:val="0"/>
          <w:sz w:val="32"/>
          <w:szCs w:val="32"/>
        </w:rPr>
        <w:t>8</w:t>
      </w:r>
      <w:r w:rsidRPr="004067A3">
        <w:rPr>
          <w:rFonts w:eastAsia="仿宋_GB2312"/>
          <w:kern w:val="0"/>
          <w:sz w:val="32"/>
          <w:szCs w:val="32"/>
        </w:rPr>
        <w:t>号通告</w:t>
      </w:r>
      <w:r w:rsidRPr="004067A3">
        <w:rPr>
          <w:rFonts w:eastAsia="仿宋_GB2312"/>
          <w:kern w:val="0"/>
          <w:sz w:val="32"/>
          <w:szCs w:val="32"/>
        </w:rPr>
        <w:t>[Z], 2022.3.</w:t>
      </w:r>
    </w:p>
    <w:p w:rsidR="004067A3" w:rsidRPr="004067A3" w:rsidRDefault="004067A3" w:rsidP="004067A3">
      <w:pPr>
        <w:overflowPunct w:val="0"/>
        <w:spacing w:line="520" w:lineRule="exact"/>
        <w:ind w:firstLineChars="200" w:firstLine="640"/>
        <w:rPr>
          <w:rFonts w:eastAsia="仿宋_GB2312"/>
          <w:kern w:val="0"/>
          <w:sz w:val="32"/>
          <w:szCs w:val="32"/>
        </w:rPr>
      </w:pPr>
      <w:r w:rsidRPr="004067A3">
        <w:rPr>
          <w:rFonts w:eastAsia="仿宋_GB2312"/>
          <w:kern w:val="0"/>
          <w:sz w:val="32"/>
          <w:szCs w:val="32"/>
        </w:rPr>
        <w:lastRenderedPageBreak/>
        <w:t xml:space="preserve">[12] </w:t>
      </w:r>
      <w:r w:rsidRPr="004067A3">
        <w:rPr>
          <w:rFonts w:eastAsia="仿宋_GB2312"/>
          <w:kern w:val="0"/>
          <w:sz w:val="32"/>
          <w:szCs w:val="32"/>
        </w:rPr>
        <w:t>国家药品监督管理局医疗器械技术审评中心</w:t>
      </w:r>
      <w:r w:rsidRPr="004067A3">
        <w:rPr>
          <w:rFonts w:eastAsia="仿宋_GB2312"/>
          <w:kern w:val="0"/>
          <w:sz w:val="32"/>
          <w:szCs w:val="32"/>
        </w:rPr>
        <w:t xml:space="preserve">. </w:t>
      </w:r>
      <w:r w:rsidRPr="004067A3">
        <w:rPr>
          <w:rFonts w:eastAsia="仿宋_GB2312"/>
          <w:kern w:val="0"/>
          <w:sz w:val="32"/>
          <w:szCs w:val="32"/>
        </w:rPr>
        <w:t>医疗器械软件注册审查指导原则（</w:t>
      </w:r>
      <w:r w:rsidRPr="004067A3">
        <w:rPr>
          <w:rFonts w:eastAsia="仿宋_GB2312"/>
          <w:kern w:val="0"/>
          <w:sz w:val="32"/>
          <w:szCs w:val="32"/>
        </w:rPr>
        <w:t>2022</w:t>
      </w:r>
      <w:r w:rsidRPr="004067A3">
        <w:rPr>
          <w:rFonts w:eastAsia="仿宋_GB2312"/>
          <w:kern w:val="0"/>
          <w:sz w:val="32"/>
          <w:szCs w:val="32"/>
        </w:rPr>
        <w:t>年修订版）</w:t>
      </w:r>
      <w:r w:rsidRPr="004067A3">
        <w:rPr>
          <w:rFonts w:eastAsia="仿宋_GB2312"/>
          <w:kern w:val="0"/>
          <w:sz w:val="32"/>
          <w:szCs w:val="32"/>
        </w:rPr>
        <w:t xml:space="preserve">: </w:t>
      </w:r>
      <w:r w:rsidRPr="004067A3">
        <w:rPr>
          <w:rFonts w:eastAsia="仿宋_GB2312"/>
          <w:kern w:val="0"/>
          <w:sz w:val="32"/>
          <w:szCs w:val="32"/>
        </w:rPr>
        <w:t>国家药监局器审中心</w:t>
      </w:r>
      <w:r w:rsidRPr="004067A3">
        <w:rPr>
          <w:rFonts w:eastAsia="仿宋_GB2312"/>
          <w:kern w:val="0"/>
          <w:sz w:val="32"/>
          <w:szCs w:val="32"/>
        </w:rPr>
        <w:t>2022</w:t>
      </w:r>
      <w:r w:rsidRPr="004067A3">
        <w:rPr>
          <w:rFonts w:eastAsia="仿宋_GB2312"/>
          <w:kern w:val="0"/>
          <w:sz w:val="32"/>
          <w:szCs w:val="32"/>
        </w:rPr>
        <w:t>年第</w:t>
      </w:r>
      <w:r w:rsidRPr="004067A3">
        <w:rPr>
          <w:rFonts w:eastAsia="仿宋_GB2312"/>
          <w:kern w:val="0"/>
          <w:sz w:val="32"/>
          <w:szCs w:val="32"/>
        </w:rPr>
        <w:t>9</w:t>
      </w:r>
      <w:r w:rsidRPr="004067A3">
        <w:rPr>
          <w:rFonts w:eastAsia="仿宋_GB2312"/>
          <w:kern w:val="0"/>
          <w:sz w:val="32"/>
          <w:szCs w:val="32"/>
        </w:rPr>
        <w:t>号通告</w:t>
      </w:r>
      <w:r w:rsidRPr="004067A3">
        <w:rPr>
          <w:rFonts w:eastAsia="仿宋_GB2312"/>
          <w:kern w:val="0"/>
          <w:sz w:val="32"/>
          <w:szCs w:val="32"/>
        </w:rPr>
        <w:t>[Z], 2022.3.</w:t>
      </w:r>
    </w:p>
    <w:p w:rsidR="004067A3" w:rsidRPr="004067A3" w:rsidRDefault="004067A3" w:rsidP="004067A3">
      <w:pPr>
        <w:overflowPunct w:val="0"/>
        <w:spacing w:line="520" w:lineRule="exact"/>
        <w:ind w:firstLineChars="200" w:firstLine="640"/>
        <w:rPr>
          <w:rFonts w:eastAsia="仿宋_GB2312"/>
          <w:kern w:val="0"/>
          <w:sz w:val="32"/>
          <w:szCs w:val="32"/>
        </w:rPr>
      </w:pPr>
      <w:r w:rsidRPr="004067A3">
        <w:rPr>
          <w:rFonts w:eastAsia="仿宋_GB2312"/>
          <w:kern w:val="0"/>
          <w:sz w:val="32"/>
          <w:szCs w:val="32"/>
        </w:rPr>
        <w:t xml:space="preserve">[13] </w:t>
      </w:r>
      <w:r w:rsidRPr="004067A3">
        <w:rPr>
          <w:rFonts w:eastAsia="仿宋_GB2312"/>
          <w:kern w:val="0"/>
          <w:sz w:val="32"/>
          <w:szCs w:val="32"/>
        </w:rPr>
        <w:t>国家药品监督管理局医疗器械技术审评中心</w:t>
      </w:r>
      <w:r w:rsidRPr="004067A3">
        <w:rPr>
          <w:rFonts w:eastAsia="仿宋_GB2312"/>
          <w:kern w:val="0"/>
          <w:sz w:val="32"/>
          <w:szCs w:val="32"/>
        </w:rPr>
        <w:t xml:space="preserve">. </w:t>
      </w:r>
      <w:hyperlink r:id="rId8" w:tgtFrame="https://www.cmde.org.cn//flfg/zdyz/zdyzwbk/_self" w:tooltip="附件2 移动心电房颤检测产品注册审查指导原则.docx" w:history="1">
        <w:r w:rsidRPr="004067A3">
          <w:rPr>
            <w:rFonts w:eastAsia="仿宋_GB2312"/>
            <w:kern w:val="0"/>
            <w:sz w:val="32"/>
            <w:szCs w:val="32"/>
          </w:rPr>
          <w:t>移动心电房颤检测产品注册审查指导原则</w:t>
        </w:r>
      </w:hyperlink>
      <w:r w:rsidRPr="004067A3">
        <w:rPr>
          <w:rFonts w:eastAsia="仿宋_GB2312"/>
          <w:kern w:val="0"/>
          <w:sz w:val="32"/>
          <w:szCs w:val="32"/>
        </w:rPr>
        <w:t xml:space="preserve">: </w:t>
      </w:r>
      <w:r w:rsidRPr="004067A3">
        <w:rPr>
          <w:rFonts w:eastAsia="仿宋_GB2312"/>
          <w:kern w:val="0"/>
          <w:sz w:val="32"/>
          <w:szCs w:val="32"/>
        </w:rPr>
        <w:t>国家药监局器审中心</w:t>
      </w:r>
      <w:r w:rsidRPr="004067A3">
        <w:rPr>
          <w:rFonts w:eastAsia="仿宋_GB2312"/>
          <w:kern w:val="0"/>
          <w:sz w:val="32"/>
          <w:szCs w:val="32"/>
        </w:rPr>
        <w:t>2023</w:t>
      </w:r>
      <w:r w:rsidRPr="004067A3">
        <w:rPr>
          <w:rFonts w:eastAsia="仿宋_GB2312"/>
          <w:kern w:val="0"/>
          <w:sz w:val="32"/>
          <w:szCs w:val="32"/>
        </w:rPr>
        <w:t>年第</w:t>
      </w:r>
      <w:r w:rsidRPr="004067A3">
        <w:rPr>
          <w:rFonts w:eastAsia="仿宋_GB2312"/>
          <w:kern w:val="0"/>
          <w:sz w:val="32"/>
          <w:szCs w:val="32"/>
        </w:rPr>
        <w:t>26</w:t>
      </w:r>
      <w:r w:rsidRPr="004067A3">
        <w:rPr>
          <w:rFonts w:eastAsia="仿宋_GB2312"/>
          <w:kern w:val="0"/>
          <w:sz w:val="32"/>
          <w:szCs w:val="32"/>
        </w:rPr>
        <w:t>号通告</w:t>
      </w:r>
      <w:r w:rsidRPr="004067A3">
        <w:rPr>
          <w:rFonts w:eastAsia="仿宋_GB2312"/>
          <w:kern w:val="0"/>
          <w:sz w:val="32"/>
          <w:szCs w:val="32"/>
        </w:rPr>
        <w:t>[Z], 2023.7.</w:t>
      </w:r>
    </w:p>
    <w:p w:rsidR="004067A3" w:rsidRPr="004067A3" w:rsidRDefault="004067A3" w:rsidP="004067A3">
      <w:pPr>
        <w:overflowPunct w:val="0"/>
        <w:spacing w:line="520" w:lineRule="exact"/>
        <w:ind w:firstLineChars="200" w:firstLine="640"/>
        <w:rPr>
          <w:rFonts w:eastAsia="仿宋_GB2312"/>
          <w:kern w:val="0"/>
          <w:sz w:val="32"/>
          <w:szCs w:val="32"/>
        </w:rPr>
      </w:pPr>
      <w:r w:rsidRPr="004067A3">
        <w:rPr>
          <w:rFonts w:eastAsia="仿宋_GB2312"/>
          <w:kern w:val="0"/>
          <w:sz w:val="32"/>
          <w:szCs w:val="32"/>
        </w:rPr>
        <w:t xml:space="preserve">[14] </w:t>
      </w:r>
      <w:r w:rsidRPr="004067A3">
        <w:rPr>
          <w:rFonts w:eastAsia="仿宋_GB2312"/>
          <w:kern w:val="0"/>
          <w:sz w:val="32"/>
          <w:szCs w:val="32"/>
        </w:rPr>
        <w:t>国家药品监督管理局医疗器械技术审评中心</w:t>
      </w:r>
      <w:r w:rsidRPr="004067A3">
        <w:rPr>
          <w:rFonts w:eastAsia="仿宋_GB2312"/>
          <w:kern w:val="0"/>
          <w:sz w:val="32"/>
          <w:szCs w:val="32"/>
        </w:rPr>
        <w:t xml:space="preserve">. </w:t>
      </w:r>
      <w:r w:rsidRPr="004067A3">
        <w:rPr>
          <w:rFonts w:eastAsia="仿宋_GB2312"/>
          <w:kern w:val="0"/>
          <w:sz w:val="32"/>
          <w:szCs w:val="32"/>
        </w:rPr>
        <w:t>植入式医疗器械电池注册审查指导原则（征求意见稿）</w:t>
      </w:r>
      <w:r w:rsidRPr="004067A3">
        <w:rPr>
          <w:rFonts w:eastAsia="仿宋_GB2312"/>
          <w:kern w:val="0"/>
          <w:sz w:val="32"/>
          <w:szCs w:val="32"/>
        </w:rPr>
        <w:t>[Z], 2022.12.</w:t>
      </w:r>
    </w:p>
    <w:p w:rsidR="004067A3" w:rsidRPr="004067A3" w:rsidRDefault="004067A3" w:rsidP="004067A3">
      <w:pPr>
        <w:overflowPunct w:val="0"/>
        <w:spacing w:line="520" w:lineRule="exact"/>
        <w:ind w:firstLineChars="200" w:firstLine="640"/>
        <w:rPr>
          <w:rFonts w:eastAsia="仿宋_GB2312"/>
          <w:kern w:val="0"/>
          <w:sz w:val="32"/>
          <w:szCs w:val="32"/>
        </w:rPr>
      </w:pPr>
      <w:r w:rsidRPr="004067A3">
        <w:rPr>
          <w:rFonts w:eastAsia="仿宋_GB2312"/>
          <w:kern w:val="0"/>
          <w:sz w:val="32"/>
          <w:szCs w:val="32"/>
        </w:rPr>
        <w:t xml:space="preserve">[15] </w:t>
      </w:r>
      <w:r w:rsidRPr="004067A3">
        <w:rPr>
          <w:rFonts w:eastAsia="仿宋_GB2312"/>
          <w:kern w:val="0"/>
          <w:sz w:val="32"/>
          <w:szCs w:val="32"/>
        </w:rPr>
        <w:t>国家药品监督管理局医疗器械技术审评中心</w:t>
      </w:r>
      <w:r w:rsidRPr="004067A3">
        <w:rPr>
          <w:rFonts w:eastAsia="仿宋_GB2312"/>
          <w:kern w:val="0"/>
          <w:sz w:val="32"/>
          <w:szCs w:val="32"/>
        </w:rPr>
        <w:t xml:space="preserve">. </w:t>
      </w:r>
      <w:r w:rsidRPr="004067A3">
        <w:rPr>
          <w:rFonts w:eastAsia="仿宋_GB2312"/>
          <w:kern w:val="0"/>
          <w:sz w:val="32"/>
          <w:szCs w:val="32"/>
        </w:rPr>
        <w:t>医疗器械人因设计注册审查指导原则（征求意见稿）</w:t>
      </w:r>
      <w:r w:rsidRPr="004067A3">
        <w:rPr>
          <w:rFonts w:eastAsia="仿宋_GB2312"/>
          <w:kern w:val="0"/>
          <w:sz w:val="32"/>
          <w:szCs w:val="32"/>
        </w:rPr>
        <w:t>[Z], 2023.10.</w:t>
      </w:r>
    </w:p>
    <w:p w:rsidR="004067A3" w:rsidRPr="004067A3" w:rsidRDefault="004067A3" w:rsidP="004067A3">
      <w:pPr>
        <w:widowControl/>
        <w:spacing w:line="520" w:lineRule="exact"/>
        <w:ind w:firstLineChars="200" w:firstLine="640"/>
        <w:rPr>
          <w:rFonts w:eastAsia="仿宋_GB2312"/>
          <w:kern w:val="0"/>
          <w:sz w:val="32"/>
          <w:szCs w:val="32"/>
        </w:rPr>
      </w:pPr>
      <w:r w:rsidRPr="004067A3">
        <w:rPr>
          <w:rFonts w:eastAsia="仿宋_GB2312"/>
          <w:kern w:val="0"/>
          <w:sz w:val="32"/>
          <w:szCs w:val="32"/>
        </w:rPr>
        <w:t xml:space="preserve">[16] </w:t>
      </w:r>
      <w:r w:rsidRPr="004067A3">
        <w:rPr>
          <w:rFonts w:eastAsia="仿宋_GB2312"/>
          <w:kern w:val="0"/>
          <w:sz w:val="32"/>
          <w:szCs w:val="32"/>
        </w:rPr>
        <w:t>国家药品监督管理局医疗器械技术审评中心</w:t>
      </w:r>
      <w:r w:rsidRPr="004067A3">
        <w:rPr>
          <w:rFonts w:eastAsia="仿宋_GB2312"/>
          <w:kern w:val="0"/>
          <w:sz w:val="32"/>
          <w:szCs w:val="32"/>
        </w:rPr>
        <w:t xml:space="preserve">. </w:t>
      </w:r>
      <w:r w:rsidRPr="004067A3">
        <w:rPr>
          <w:rFonts w:eastAsia="仿宋_GB2312"/>
          <w:kern w:val="0"/>
          <w:sz w:val="32"/>
          <w:szCs w:val="32"/>
        </w:rPr>
        <w:t>医疗器械说明书编写指导原则（征求意见稿）</w:t>
      </w:r>
      <w:r w:rsidRPr="004067A3">
        <w:rPr>
          <w:rFonts w:eastAsia="仿宋_GB2312"/>
          <w:kern w:val="0"/>
          <w:sz w:val="32"/>
          <w:szCs w:val="32"/>
        </w:rPr>
        <w:t xml:space="preserve">[Z], </w:t>
      </w:r>
      <w:r w:rsidRPr="004067A3">
        <w:rPr>
          <w:rFonts w:eastAsia="仿宋_GB2312"/>
          <w:sz w:val="32"/>
          <w:szCs w:val="32"/>
        </w:rPr>
        <w:t>2023.11.</w:t>
      </w:r>
    </w:p>
    <w:p w:rsidR="004067A3" w:rsidRPr="004067A3" w:rsidRDefault="004067A3" w:rsidP="004067A3">
      <w:pPr>
        <w:overflowPunct w:val="0"/>
        <w:spacing w:line="520" w:lineRule="exact"/>
        <w:ind w:firstLineChars="200" w:firstLine="640"/>
        <w:rPr>
          <w:rFonts w:eastAsia="仿宋_GB2312"/>
          <w:kern w:val="0"/>
          <w:sz w:val="32"/>
          <w:szCs w:val="32"/>
        </w:rPr>
      </w:pPr>
      <w:r w:rsidRPr="004067A3">
        <w:rPr>
          <w:rFonts w:eastAsia="仿宋_GB2312"/>
          <w:kern w:val="0"/>
          <w:sz w:val="32"/>
          <w:szCs w:val="32"/>
        </w:rPr>
        <w:t xml:space="preserve">[17] GB 9706.1-2020, </w:t>
      </w:r>
      <w:r w:rsidRPr="004067A3">
        <w:rPr>
          <w:rFonts w:eastAsia="仿宋_GB2312"/>
          <w:kern w:val="0"/>
          <w:sz w:val="32"/>
          <w:szCs w:val="32"/>
        </w:rPr>
        <w:t>医用电气设备</w:t>
      </w:r>
      <w:r w:rsidRPr="004067A3">
        <w:rPr>
          <w:rFonts w:eastAsia="仿宋_GB2312"/>
          <w:kern w:val="0"/>
          <w:sz w:val="32"/>
          <w:szCs w:val="32"/>
        </w:rPr>
        <w:t xml:space="preserve"> </w:t>
      </w:r>
      <w:r w:rsidRPr="004067A3">
        <w:rPr>
          <w:rFonts w:eastAsia="仿宋_GB2312"/>
          <w:kern w:val="0"/>
          <w:sz w:val="32"/>
          <w:szCs w:val="32"/>
        </w:rPr>
        <w:t>第</w:t>
      </w:r>
      <w:r w:rsidRPr="004067A3">
        <w:rPr>
          <w:rFonts w:eastAsia="仿宋_GB2312"/>
          <w:kern w:val="0"/>
          <w:sz w:val="32"/>
          <w:szCs w:val="32"/>
        </w:rPr>
        <w:t>1</w:t>
      </w:r>
      <w:r w:rsidRPr="004067A3">
        <w:rPr>
          <w:rFonts w:eastAsia="仿宋_GB2312"/>
          <w:kern w:val="0"/>
          <w:sz w:val="32"/>
          <w:szCs w:val="32"/>
        </w:rPr>
        <w:t>部分：基本安全和基本性能的通用要求</w:t>
      </w:r>
      <w:r w:rsidRPr="004067A3">
        <w:rPr>
          <w:rFonts w:eastAsia="仿宋_GB2312"/>
          <w:kern w:val="0"/>
          <w:sz w:val="32"/>
          <w:szCs w:val="32"/>
        </w:rPr>
        <w:t>[S].</w:t>
      </w:r>
    </w:p>
    <w:p w:rsidR="004067A3" w:rsidRPr="004067A3" w:rsidRDefault="004067A3" w:rsidP="004067A3">
      <w:pPr>
        <w:widowControl/>
        <w:spacing w:line="520" w:lineRule="exact"/>
        <w:ind w:firstLineChars="200" w:firstLine="640"/>
        <w:rPr>
          <w:rFonts w:eastAsia="仿宋_GB2312"/>
          <w:kern w:val="0"/>
          <w:sz w:val="32"/>
          <w:szCs w:val="32"/>
        </w:rPr>
      </w:pPr>
      <w:r w:rsidRPr="004067A3">
        <w:rPr>
          <w:rFonts w:eastAsia="仿宋_GB2312"/>
          <w:kern w:val="0"/>
          <w:sz w:val="32"/>
          <w:szCs w:val="32"/>
        </w:rPr>
        <w:t xml:space="preserve">[18] YY 9706.111-2021, </w:t>
      </w:r>
      <w:r w:rsidRPr="004067A3">
        <w:rPr>
          <w:rFonts w:eastAsia="仿宋_GB2312"/>
          <w:kern w:val="0"/>
          <w:sz w:val="32"/>
          <w:szCs w:val="32"/>
        </w:rPr>
        <w:t>医用电气设备</w:t>
      </w:r>
      <w:r w:rsidRPr="004067A3">
        <w:rPr>
          <w:rFonts w:eastAsia="仿宋_GB2312"/>
          <w:kern w:val="0"/>
          <w:sz w:val="32"/>
          <w:szCs w:val="32"/>
        </w:rPr>
        <w:t xml:space="preserve"> </w:t>
      </w:r>
      <w:r w:rsidRPr="004067A3">
        <w:rPr>
          <w:rFonts w:eastAsia="仿宋_GB2312"/>
          <w:kern w:val="0"/>
          <w:sz w:val="32"/>
          <w:szCs w:val="32"/>
        </w:rPr>
        <w:t>第</w:t>
      </w:r>
      <w:r w:rsidRPr="004067A3">
        <w:rPr>
          <w:rFonts w:eastAsia="仿宋_GB2312"/>
          <w:kern w:val="0"/>
          <w:sz w:val="32"/>
          <w:szCs w:val="32"/>
        </w:rPr>
        <w:t>1-11</w:t>
      </w:r>
      <w:r w:rsidRPr="004067A3">
        <w:rPr>
          <w:rFonts w:eastAsia="仿宋_GB2312"/>
          <w:kern w:val="0"/>
          <w:sz w:val="32"/>
          <w:szCs w:val="32"/>
        </w:rPr>
        <w:t>部分</w:t>
      </w:r>
      <w:r w:rsidRPr="004067A3">
        <w:rPr>
          <w:rFonts w:eastAsia="仿宋_GB2312"/>
          <w:kern w:val="0"/>
          <w:sz w:val="32"/>
          <w:szCs w:val="32"/>
          <w:lang w:bidi="ar"/>
        </w:rPr>
        <w:t>：</w:t>
      </w:r>
      <w:r w:rsidRPr="004067A3">
        <w:rPr>
          <w:rFonts w:eastAsia="仿宋_GB2312"/>
          <w:kern w:val="0"/>
          <w:sz w:val="32"/>
          <w:szCs w:val="32"/>
        </w:rPr>
        <w:t>基本安全和基本性能的通用要求</w:t>
      </w:r>
      <w:r w:rsidRPr="004067A3">
        <w:rPr>
          <w:rFonts w:eastAsia="仿宋_GB2312"/>
          <w:kern w:val="0"/>
          <w:sz w:val="32"/>
          <w:szCs w:val="32"/>
        </w:rPr>
        <w:t xml:space="preserve"> </w:t>
      </w:r>
      <w:r w:rsidRPr="004067A3">
        <w:rPr>
          <w:rFonts w:eastAsia="仿宋_GB2312"/>
          <w:kern w:val="0"/>
          <w:sz w:val="32"/>
          <w:szCs w:val="32"/>
        </w:rPr>
        <w:t>并列标准</w:t>
      </w:r>
      <w:r w:rsidRPr="004067A3">
        <w:rPr>
          <w:rFonts w:eastAsia="仿宋_GB2312"/>
          <w:kern w:val="0"/>
          <w:sz w:val="32"/>
          <w:szCs w:val="32"/>
          <w:lang w:bidi="ar"/>
        </w:rPr>
        <w:t>：</w:t>
      </w:r>
      <w:r w:rsidRPr="004067A3">
        <w:rPr>
          <w:rFonts w:eastAsia="仿宋_GB2312"/>
          <w:kern w:val="0"/>
          <w:sz w:val="32"/>
          <w:szCs w:val="32"/>
        </w:rPr>
        <w:t>在家庭护理环境中使用的医用电气设备和医用电气系统的要求</w:t>
      </w:r>
      <w:r w:rsidRPr="004067A3">
        <w:rPr>
          <w:rFonts w:eastAsia="仿宋_GB2312"/>
          <w:kern w:val="0"/>
          <w:sz w:val="32"/>
          <w:szCs w:val="32"/>
        </w:rPr>
        <w:t>[S].</w:t>
      </w:r>
    </w:p>
    <w:p w:rsidR="004067A3" w:rsidRPr="004067A3" w:rsidRDefault="004067A3" w:rsidP="004067A3">
      <w:pPr>
        <w:widowControl/>
        <w:spacing w:line="520" w:lineRule="exact"/>
        <w:ind w:firstLineChars="200" w:firstLine="640"/>
        <w:rPr>
          <w:rFonts w:eastAsia="仿宋_GB2312"/>
          <w:kern w:val="0"/>
          <w:sz w:val="32"/>
          <w:szCs w:val="32"/>
        </w:rPr>
      </w:pPr>
      <w:r w:rsidRPr="004067A3">
        <w:rPr>
          <w:rFonts w:eastAsia="仿宋_GB2312"/>
          <w:kern w:val="0"/>
          <w:sz w:val="32"/>
          <w:szCs w:val="32"/>
        </w:rPr>
        <w:t xml:space="preserve">[19] GB/T 32927-2016, </w:t>
      </w:r>
      <w:r w:rsidRPr="004067A3">
        <w:rPr>
          <w:rFonts w:eastAsia="仿宋_GB2312"/>
          <w:kern w:val="0"/>
          <w:sz w:val="32"/>
          <w:szCs w:val="32"/>
        </w:rPr>
        <w:t>信息安全技术</w:t>
      </w:r>
      <w:r w:rsidRPr="004067A3">
        <w:rPr>
          <w:rFonts w:eastAsia="仿宋_GB2312"/>
          <w:kern w:val="0"/>
          <w:sz w:val="32"/>
          <w:szCs w:val="32"/>
        </w:rPr>
        <w:t xml:space="preserve"> </w:t>
      </w:r>
      <w:r w:rsidRPr="004067A3">
        <w:rPr>
          <w:rFonts w:eastAsia="仿宋_GB2312"/>
          <w:kern w:val="0"/>
          <w:sz w:val="32"/>
          <w:szCs w:val="32"/>
        </w:rPr>
        <w:t>移动智能终端安全架构</w:t>
      </w:r>
      <w:r w:rsidRPr="004067A3">
        <w:rPr>
          <w:rFonts w:eastAsia="仿宋_GB2312"/>
          <w:kern w:val="0"/>
          <w:sz w:val="32"/>
          <w:szCs w:val="32"/>
        </w:rPr>
        <w:t>[S].</w:t>
      </w:r>
    </w:p>
    <w:p w:rsidR="004067A3" w:rsidRPr="004067A3" w:rsidRDefault="004067A3" w:rsidP="004067A3">
      <w:pPr>
        <w:widowControl/>
        <w:spacing w:line="520" w:lineRule="exact"/>
        <w:ind w:firstLineChars="200" w:firstLine="640"/>
        <w:rPr>
          <w:rFonts w:eastAsia="仿宋_GB2312"/>
          <w:kern w:val="0"/>
          <w:sz w:val="32"/>
          <w:szCs w:val="32"/>
        </w:rPr>
      </w:pPr>
      <w:r w:rsidRPr="004067A3">
        <w:rPr>
          <w:rFonts w:eastAsia="仿宋_GB2312"/>
          <w:kern w:val="0"/>
          <w:sz w:val="32"/>
          <w:szCs w:val="32"/>
        </w:rPr>
        <w:t xml:space="preserve">[20] GB/T 34975-2017, </w:t>
      </w:r>
      <w:r w:rsidRPr="004067A3">
        <w:rPr>
          <w:rFonts w:eastAsia="仿宋_GB2312"/>
          <w:kern w:val="0"/>
          <w:sz w:val="32"/>
          <w:szCs w:val="32"/>
        </w:rPr>
        <w:t>信息安全技术</w:t>
      </w:r>
      <w:r w:rsidRPr="004067A3">
        <w:rPr>
          <w:rFonts w:eastAsia="仿宋_GB2312"/>
          <w:kern w:val="0"/>
          <w:sz w:val="32"/>
          <w:szCs w:val="32"/>
        </w:rPr>
        <w:t xml:space="preserve"> </w:t>
      </w:r>
      <w:r w:rsidRPr="004067A3">
        <w:rPr>
          <w:rFonts w:eastAsia="仿宋_GB2312"/>
          <w:kern w:val="0"/>
          <w:sz w:val="32"/>
          <w:szCs w:val="32"/>
        </w:rPr>
        <w:t>移动智能终端应用软件安全技术要求和测试评价方法</w:t>
      </w:r>
      <w:r w:rsidRPr="004067A3">
        <w:rPr>
          <w:rFonts w:eastAsia="仿宋_GB2312"/>
          <w:kern w:val="0"/>
          <w:sz w:val="32"/>
          <w:szCs w:val="32"/>
        </w:rPr>
        <w:t>[S].</w:t>
      </w:r>
    </w:p>
    <w:p w:rsidR="004067A3" w:rsidRPr="004067A3" w:rsidRDefault="004067A3" w:rsidP="004067A3">
      <w:pPr>
        <w:widowControl/>
        <w:spacing w:line="520" w:lineRule="exact"/>
        <w:ind w:firstLineChars="200" w:firstLine="640"/>
        <w:rPr>
          <w:rFonts w:eastAsia="仿宋_GB2312"/>
          <w:kern w:val="0"/>
          <w:sz w:val="32"/>
          <w:szCs w:val="32"/>
        </w:rPr>
      </w:pPr>
      <w:r w:rsidRPr="004067A3">
        <w:rPr>
          <w:rFonts w:eastAsia="仿宋_GB2312"/>
          <w:kern w:val="0"/>
          <w:sz w:val="32"/>
          <w:szCs w:val="32"/>
        </w:rPr>
        <w:t xml:space="preserve">[21] GB/T 34976-2017, </w:t>
      </w:r>
      <w:r w:rsidRPr="004067A3">
        <w:rPr>
          <w:rFonts w:eastAsia="仿宋_GB2312"/>
          <w:kern w:val="0"/>
          <w:sz w:val="32"/>
          <w:szCs w:val="32"/>
        </w:rPr>
        <w:t>信息安全技术</w:t>
      </w:r>
      <w:r w:rsidRPr="004067A3">
        <w:rPr>
          <w:rFonts w:eastAsia="仿宋_GB2312"/>
          <w:kern w:val="0"/>
          <w:sz w:val="32"/>
          <w:szCs w:val="32"/>
        </w:rPr>
        <w:t xml:space="preserve"> </w:t>
      </w:r>
      <w:r w:rsidRPr="004067A3">
        <w:rPr>
          <w:rFonts w:eastAsia="仿宋_GB2312"/>
          <w:kern w:val="0"/>
          <w:sz w:val="32"/>
          <w:szCs w:val="32"/>
        </w:rPr>
        <w:t>移动智能终端操作系统安全技术要求和测试评价方法</w:t>
      </w:r>
      <w:r w:rsidRPr="004067A3">
        <w:rPr>
          <w:rFonts w:eastAsia="仿宋_GB2312"/>
          <w:kern w:val="0"/>
          <w:sz w:val="32"/>
          <w:szCs w:val="32"/>
        </w:rPr>
        <w:t>[S].</w:t>
      </w:r>
    </w:p>
    <w:p w:rsidR="004067A3" w:rsidRPr="004067A3" w:rsidRDefault="004067A3" w:rsidP="004067A3">
      <w:pPr>
        <w:widowControl/>
        <w:spacing w:line="520" w:lineRule="exact"/>
        <w:ind w:firstLineChars="200" w:firstLine="640"/>
        <w:rPr>
          <w:rFonts w:eastAsia="仿宋_GB2312"/>
          <w:kern w:val="0"/>
          <w:sz w:val="32"/>
          <w:szCs w:val="32"/>
        </w:rPr>
      </w:pPr>
      <w:r w:rsidRPr="004067A3">
        <w:rPr>
          <w:rFonts w:eastAsia="仿宋_GB2312"/>
          <w:kern w:val="0"/>
          <w:sz w:val="32"/>
          <w:szCs w:val="32"/>
        </w:rPr>
        <w:t xml:space="preserve">[22] GB/T 34977-2017, </w:t>
      </w:r>
      <w:r w:rsidRPr="004067A3">
        <w:rPr>
          <w:rFonts w:eastAsia="仿宋_GB2312"/>
          <w:kern w:val="0"/>
          <w:sz w:val="32"/>
          <w:szCs w:val="32"/>
        </w:rPr>
        <w:t>信息安全技术</w:t>
      </w:r>
      <w:r w:rsidRPr="004067A3">
        <w:rPr>
          <w:rFonts w:eastAsia="仿宋_GB2312"/>
          <w:kern w:val="0"/>
          <w:sz w:val="32"/>
          <w:szCs w:val="32"/>
        </w:rPr>
        <w:t xml:space="preserve"> </w:t>
      </w:r>
      <w:r w:rsidRPr="004067A3">
        <w:rPr>
          <w:rFonts w:eastAsia="仿宋_GB2312"/>
          <w:kern w:val="0"/>
          <w:sz w:val="32"/>
          <w:szCs w:val="32"/>
        </w:rPr>
        <w:t>移动智能终端数据存储安全技术要求与测试评价方法</w:t>
      </w:r>
      <w:r w:rsidRPr="004067A3">
        <w:rPr>
          <w:rFonts w:eastAsia="仿宋_GB2312"/>
          <w:kern w:val="0"/>
          <w:sz w:val="32"/>
          <w:szCs w:val="32"/>
        </w:rPr>
        <w:t>[S].</w:t>
      </w:r>
    </w:p>
    <w:p w:rsidR="004067A3" w:rsidRPr="004067A3" w:rsidRDefault="004067A3" w:rsidP="004067A3">
      <w:pPr>
        <w:widowControl/>
        <w:spacing w:line="520" w:lineRule="exact"/>
        <w:ind w:firstLineChars="200" w:firstLine="640"/>
        <w:rPr>
          <w:rFonts w:eastAsia="仿宋_GB2312"/>
          <w:kern w:val="0"/>
          <w:sz w:val="32"/>
          <w:szCs w:val="32"/>
        </w:rPr>
      </w:pPr>
      <w:r w:rsidRPr="004067A3">
        <w:rPr>
          <w:rFonts w:eastAsia="仿宋_GB2312"/>
          <w:kern w:val="0"/>
          <w:sz w:val="32"/>
          <w:szCs w:val="32"/>
        </w:rPr>
        <w:lastRenderedPageBreak/>
        <w:t xml:space="preserve">[23] GB/T 34978-2017, </w:t>
      </w:r>
      <w:r w:rsidRPr="004067A3">
        <w:rPr>
          <w:rFonts w:eastAsia="仿宋_GB2312"/>
          <w:kern w:val="0"/>
          <w:sz w:val="32"/>
          <w:szCs w:val="32"/>
        </w:rPr>
        <w:t>信息安全技术</w:t>
      </w:r>
      <w:r w:rsidRPr="004067A3">
        <w:rPr>
          <w:rFonts w:eastAsia="仿宋_GB2312"/>
          <w:kern w:val="0"/>
          <w:sz w:val="32"/>
          <w:szCs w:val="32"/>
        </w:rPr>
        <w:t xml:space="preserve"> </w:t>
      </w:r>
      <w:r w:rsidRPr="004067A3">
        <w:rPr>
          <w:rFonts w:eastAsia="仿宋_GB2312"/>
          <w:kern w:val="0"/>
          <w:sz w:val="32"/>
          <w:szCs w:val="32"/>
        </w:rPr>
        <w:t>移动智能终端个人信息保护技术要求</w:t>
      </w:r>
      <w:r w:rsidRPr="004067A3">
        <w:rPr>
          <w:rFonts w:eastAsia="仿宋_GB2312"/>
          <w:kern w:val="0"/>
          <w:sz w:val="32"/>
          <w:szCs w:val="32"/>
        </w:rPr>
        <w:t>[S].</w:t>
      </w:r>
    </w:p>
    <w:p w:rsidR="004067A3" w:rsidRPr="004067A3" w:rsidRDefault="004067A3" w:rsidP="004067A3">
      <w:pPr>
        <w:widowControl/>
        <w:spacing w:line="520" w:lineRule="exact"/>
        <w:ind w:firstLineChars="200" w:firstLine="640"/>
        <w:rPr>
          <w:rFonts w:eastAsia="仿宋_GB2312"/>
          <w:kern w:val="0"/>
          <w:sz w:val="32"/>
          <w:szCs w:val="32"/>
        </w:rPr>
      </w:pPr>
      <w:r w:rsidRPr="004067A3">
        <w:rPr>
          <w:rFonts w:eastAsia="仿宋_GB2312"/>
          <w:kern w:val="0"/>
          <w:sz w:val="32"/>
          <w:szCs w:val="32"/>
        </w:rPr>
        <w:t xml:space="preserve">[24] GB/T 34998-2017, </w:t>
      </w:r>
      <w:r w:rsidRPr="004067A3">
        <w:rPr>
          <w:rFonts w:eastAsia="仿宋_GB2312"/>
          <w:kern w:val="0"/>
          <w:sz w:val="32"/>
          <w:szCs w:val="32"/>
        </w:rPr>
        <w:t>移动终端浏览器软件技术要求</w:t>
      </w:r>
      <w:r w:rsidRPr="004067A3">
        <w:rPr>
          <w:rFonts w:eastAsia="仿宋_GB2312"/>
          <w:kern w:val="0"/>
          <w:sz w:val="32"/>
          <w:szCs w:val="32"/>
        </w:rPr>
        <w:t>[S].</w:t>
      </w:r>
    </w:p>
    <w:p w:rsidR="004067A3" w:rsidRPr="004067A3" w:rsidRDefault="004067A3" w:rsidP="004067A3">
      <w:pPr>
        <w:widowControl/>
        <w:spacing w:line="520" w:lineRule="exact"/>
        <w:ind w:firstLineChars="200" w:firstLine="640"/>
        <w:rPr>
          <w:rFonts w:eastAsia="仿宋_GB2312"/>
          <w:kern w:val="0"/>
          <w:sz w:val="32"/>
          <w:szCs w:val="32"/>
        </w:rPr>
      </w:pPr>
      <w:r w:rsidRPr="004067A3">
        <w:rPr>
          <w:rFonts w:eastAsia="仿宋_GB2312"/>
          <w:kern w:val="0"/>
          <w:sz w:val="32"/>
          <w:szCs w:val="32"/>
        </w:rPr>
        <w:t xml:space="preserve">[25] GB/T 35278-2017, </w:t>
      </w:r>
      <w:r w:rsidRPr="004067A3">
        <w:rPr>
          <w:rFonts w:eastAsia="仿宋_GB2312"/>
          <w:kern w:val="0"/>
          <w:sz w:val="32"/>
          <w:szCs w:val="32"/>
        </w:rPr>
        <w:t>信息安全技术</w:t>
      </w:r>
      <w:r w:rsidRPr="004067A3">
        <w:rPr>
          <w:rFonts w:eastAsia="仿宋_GB2312"/>
          <w:kern w:val="0"/>
          <w:sz w:val="32"/>
          <w:szCs w:val="32"/>
        </w:rPr>
        <w:t xml:space="preserve"> </w:t>
      </w:r>
      <w:r w:rsidRPr="004067A3">
        <w:rPr>
          <w:rFonts w:eastAsia="仿宋_GB2312"/>
          <w:kern w:val="0"/>
          <w:sz w:val="32"/>
          <w:szCs w:val="32"/>
        </w:rPr>
        <w:t>移动终端安全保护技术要求</w:t>
      </w:r>
      <w:r w:rsidRPr="004067A3">
        <w:rPr>
          <w:rFonts w:eastAsia="仿宋_GB2312"/>
          <w:kern w:val="0"/>
          <w:sz w:val="32"/>
          <w:szCs w:val="32"/>
        </w:rPr>
        <w:t>[S].</w:t>
      </w:r>
    </w:p>
    <w:p w:rsidR="004067A3" w:rsidRPr="004067A3" w:rsidRDefault="004067A3" w:rsidP="004067A3">
      <w:pPr>
        <w:widowControl/>
        <w:spacing w:line="520" w:lineRule="exact"/>
        <w:ind w:firstLineChars="200" w:firstLine="640"/>
        <w:rPr>
          <w:rFonts w:eastAsia="仿宋_GB2312"/>
          <w:kern w:val="0"/>
          <w:sz w:val="32"/>
          <w:szCs w:val="32"/>
        </w:rPr>
      </w:pPr>
      <w:r w:rsidRPr="004067A3">
        <w:rPr>
          <w:rFonts w:eastAsia="仿宋_GB2312"/>
          <w:kern w:val="0"/>
          <w:sz w:val="32"/>
          <w:szCs w:val="32"/>
        </w:rPr>
        <w:t xml:space="preserve">[26] GB/T 37729-2019, </w:t>
      </w:r>
      <w:r w:rsidRPr="004067A3">
        <w:rPr>
          <w:rFonts w:eastAsia="仿宋_GB2312"/>
          <w:kern w:val="0"/>
          <w:sz w:val="32"/>
          <w:szCs w:val="32"/>
        </w:rPr>
        <w:t>信息技术</w:t>
      </w:r>
      <w:r w:rsidRPr="004067A3">
        <w:rPr>
          <w:rFonts w:eastAsia="仿宋_GB2312"/>
          <w:kern w:val="0"/>
          <w:sz w:val="32"/>
          <w:szCs w:val="32"/>
        </w:rPr>
        <w:t xml:space="preserve"> </w:t>
      </w:r>
      <w:r w:rsidRPr="004067A3">
        <w:rPr>
          <w:rFonts w:eastAsia="仿宋_GB2312"/>
          <w:kern w:val="0"/>
          <w:sz w:val="32"/>
          <w:szCs w:val="32"/>
        </w:rPr>
        <w:t>智能移动终端应用软件（</w:t>
      </w:r>
      <w:r w:rsidRPr="004067A3">
        <w:rPr>
          <w:rFonts w:eastAsia="仿宋_GB2312"/>
          <w:kern w:val="0"/>
          <w:sz w:val="32"/>
          <w:szCs w:val="32"/>
        </w:rPr>
        <w:t>App</w:t>
      </w:r>
      <w:r w:rsidRPr="004067A3">
        <w:rPr>
          <w:rFonts w:eastAsia="仿宋_GB2312"/>
          <w:kern w:val="0"/>
          <w:sz w:val="32"/>
          <w:szCs w:val="32"/>
        </w:rPr>
        <w:t>）技术要求</w:t>
      </w:r>
      <w:r w:rsidRPr="004067A3">
        <w:rPr>
          <w:rFonts w:eastAsia="仿宋_GB2312"/>
          <w:kern w:val="0"/>
          <w:sz w:val="32"/>
          <w:szCs w:val="32"/>
        </w:rPr>
        <w:tab/>
        <w:t>[S].</w:t>
      </w:r>
    </w:p>
    <w:p w:rsidR="004067A3" w:rsidRPr="004067A3" w:rsidRDefault="004067A3" w:rsidP="004067A3">
      <w:pPr>
        <w:widowControl/>
        <w:spacing w:line="520" w:lineRule="exact"/>
        <w:ind w:firstLineChars="200" w:firstLine="640"/>
        <w:rPr>
          <w:rFonts w:eastAsia="仿宋_GB2312"/>
          <w:kern w:val="0"/>
          <w:sz w:val="32"/>
          <w:szCs w:val="32"/>
        </w:rPr>
      </w:pPr>
      <w:r w:rsidRPr="004067A3">
        <w:rPr>
          <w:rFonts w:eastAsia="仿宋_GB2312"/>
          <w:kern w:val="0"/>
          <w:sz w:val="32"/>
          <w:szCs w:val="32"/>
        </w:rPr>
        <w:t xml:space="preserve">[27] </w:t>
      </w:r>
      <w:hyperlink r:id="rId9" w:history="1">
        <w:r w:rsidRPr="004067A3">
          <w:rPr>
            <w:rFonts w:eastAsia="仿宋_GB2312"/>
            <w:kern w:val="0"/>
            <w:sz w:val="32"/>
            <w:szCs w:val="32"/>
          </w:rPr>
          <w:t>GB/T 38542-2020</w:t>
        </w:r>
      </w:hyperlink>
      <w:r w:rsidRPr="004067A3">
        <w:rPr>
          <w:rFonts w:eastAsia="仿宋_GB2312"/>
          <w:kern w:val="0"/>
          <w:sz w:val="32"/>
          <w:szCs w:val="32"/>
        </w:rPr>
        <w:t xml:space="preserve">, </w:t>
      </w:r>
      <w:hyperlink r:id="rId10" w:history="1">
        <w:r w:rsidRPr="004067A3">
          <w:rPr>
            <w:rFonts w:eastAsia="仿宋_GB2312"/>
            <w:kern w:val="0"/>
            <w:sz w:val="32"/>
            <w:szCs w:val="32"/>
          </w:rPr>
          <w:t>信息安全技术</w:t>
        </w:r>
        <w:r w:rsidRPr="004067A3">
          <w:rPr>
            <w:rFonts w:eastAsia="仿宋_GB2312"/>
            <w:kern w:val="0"/>
            <w:sz w:val="32"/>
            <w:szCs w:val="32"/>
          </w:rPr>
          <w:t xml:space="preserve"> </w:t>
        </w:r>
        <w:r w:rsidRPr="004067A3">
          <w:rPr>
            <w:rFonts w:eastAsia="仿宋_GB2312"/>
            <w:kern w:val="0"/>
            <w:sz w:val="32"/>
            <w:szCs w:val="32"/>
          </w:rPr>
          <w:t>基于生物特征识别的移动智能终端身份鉴别技术框架</w:t>
        </w:r>
      </w:hyperlink>
      <w:r w:rsidRPr="004067A3">
        <w:rPr>
          <w:rFonts w:eastAsia="仿宋_GB2312"/>
          <w:kern w:val="0"/>
          <w:sz w:val="32"/>
          <w:szCs w:val="32"/>
        </w:rPr>
        <w:t>[S].</w:t>
      </w:r>
    </w:p>
    <w:p w:rsidR="004067A3" w:rsidRPr="004067A3" w:rsidRDefault="004067A3" w:rsidP="004067A3">
      <w:pPr>
        <w:widowControl/>
        <w:spacing w:line="520" w:lineRule="exact"/>
        <w:ind w:firstLineChars="200" w:firstLine="640"/>
        <w:rPr>
          <w:rFonts w:eastAsia="仿宋_GB2312"/>
          <w:kern w:val="0"/>
          <w:sz w:val="32"/>
          <w:szCs w:val="32"/>
        </w:rPr>
      </w:pPr>
      <w:r w:rsidRPr="004067A3">
        <w:rPr>
          <w:rFonts w:eastAsia="仿宋_GB2312"/>
          <w:kern w:val="0"/>
          <w:sz w:val="32"/>
          <w:szCs w:val="32"/>
        </w:rPr>
        <w:t xml:space="preserve">[28] </w:t>
      </w:r>
      <w:hyperlink r:id="rId11" w:history="1">
        <w:r w:rsidRPr="004067A3">
          <w:rPr>
            <w:rFonts w:eastAsia="仿宋_GB2312"/>
            <w:kern w:val="0"/>
            <w:sz w:val="32"/>
            <w:szCs w:val="32"/>
          </w:rPr>
          <w:t>GB/T 39720-2020</w:t>
        </w:r>
      </w:hyperlink>
      <w:r w:rsidRPr="004067A3">
        <w:rPr>
          <w:rFonts w:eastAsia="仿宋_GB2312"/>
          <w:kern w:val="0"/>
          <w:sz w:val="32"/>
          <w:szCs w:val="32"/>
        </w:rPr>
        <w:t xml:space="preserve">, </w:t>
      </w:r>
      <w:hyperlink r:id="rId12" w:history="1">
        <w:r w:rsidRPr="004067A3">
          <w:rPr>
            <w:rFonts w:eastAsia="仿宋_GB2312"/>
            <w:kern w:val="0"/>
            <w:sz w:val="32"/>
            <w:szCs w:val="32"/>
          </w:rPr>
          <w:t>信息安全技术</w:t>
        </w:r>
        <w:r w:rsidRPr="004067A3">
          <w:rPr>
            <w:rFonts w:eastAsia="仿宋_GB2312"/>
            <w:kern w:val="0"/>
            <w:sz w:val="32"/>
            <w:szCs w:val="32"/>
          </w:rPr>
          <w:t xml:space="preserve"> </w:t>
        </w:r>
        <w:r w:rsidRPr="004067A3">
          <w:rPr>
            <w:rFonts w:eastAsia="仿宋_GB2312"/>
            <w:kern w:val="0"/>
            <w:sz w:val="32"/>
            <w:szCs w:val="32"/>
          </w:rPr>
          <w:t>移动智能终端安全技术要求及测试评价方法</w:t>
        </w:r>
      </w:hyperlink>
      <w:r w:rsidRPr="004067A3">
        <w:rPr>
          <w:rFonts w:eastAsia="仿宋_GB2312"/>
          <w:kern w:val="0"/>
          <w:sz w:val="32"/>
          <w:szCs w:val="32"/>
        </w:rPr>
        <w:t>[S].</w:t>
      </w:r>
    </w:p>
    <w:p w:rsidR="004067A3" w:rsidRPr="004067A3" w:rsidRDefault="004067A3" w:rsidP="004067A3">
      <w:pPr>
        <w:widowControl/>
        <w:spacing w:line="520" w:lineRule="exact"/>
        <w:ind w:firstLineChars="200" w:firstLine="640"/>
        <w:rPr>
          <w:rFonts w:eastAsia="仿宋_GB2312"/>
          <w:kern w:val="0"/>
          <w:sz w:val="32"/>
          <w:szCs w:val="32"/>
        </w:rPr>
      </w:pPr>
      <w:r w:rsidRPr="004067A3">
        <w:rPr>
          <w:rFonts w:eastAsia="仿宋_GB2312"/>
          <w:kern w:val="0"/>
          <w:sz w:val="32"/>
          <w:szCs w:val="32"/>
        </w:rPr>
        <w:t xml:space="preserve">[29] GB/T 37952-2019, </w:t>
      </w:r>
      <w:r w:rsidRPr="004067A3">
        <w:rPr>
          <w:rFonts w:eastAsia="仿宋_GB2312"/>
          <w:kern w:val="0"/>
          <w:sz w:val="32"/>
          <w:szCs w:val="32"/>
        </w:rPr>
        <w:t>信息安全技术</w:t>
      </w:r>
      <w:r w:rsidRPr="004067A3">
        <w:rPr>
          <w:rFonts w:eastAsia="仿宋_GB2312"/>
          <w:kern w:val="0"/>
          <w:sz w:val="32"/>
          <w:szCs w:val="32"/>
        </w:rPr>
        <w:t xml:space="preserve"> </w:t>
      </w:r>
      <w:r w:rsidRPr="004067A3">
        <w:rPr>
          <w:rFonts w:eastAsia="仿宋_GB2312"/>
          <w:kern w:val="0"/>
          <w:sz w:val="32"/>
          <w:szCs w:val="32"/>
        </w:rPr>
        <w:t>移动终端安全管理平台技术要求</w:t>
      </w:r>
      <w:r w:rsidRPr="004067A3">
        <w:rPr>
          <w:rFonts w:eastAsia="仿宋_GB2312"/>
          <w:kern w:val="0"/>
          <w:sz w:val="32"/>
          <w:szCs w:val="32"/>
        </w:rPr>
        <w:t>[S].</w:t>
      </w:r>
    </w:p>
    <w:p w:rsidR="004067A3" w:rsidRPr="004067A3" w:rsidRDefault="004067A3" w:rsidP="004067A3">
      <w:pPr>
        <w:widowControl/>
        <w:spacing w:line="520" w:lineRule="exact"/>
        <w:ind w:firstLineChars="200" w:firstLine="640"/>
        <w:rPr>
          <w:rFonts w:eastAsia="仿宋_GB2312"/>
          <w:kern w:val="0"/>
          <w:sz w:val="32"/>
          <w:szCs w:val="32"/>
        </w:rPr>
      </w:pPr>
      <w:r w:rsidRPr="004067A3">
        <w:rPr>
          <w:rFonts w:eastAsia="仿宋_GB2312"/>
          <w:kern w:val="0"/>
          <w:sz w:val="32"/>
          <w:szCs w:val="32"/>
        </w:rPr>
        <w:t xml:space="preserve">[30] </w:t>
      </w:r>
      <w:hyperlink r:id="rId13" w:tgtFrame="https://std.samr.gov.cn/search/_blank" w:history="1">
        <w:r w:rsidRPr="004067A3">
          <w:rPr>
            <w:rFonts w:eastAsia="仿宋_GB2312"/>
            <w:kern w:val="0"/>
            <w:sz w:val="32"/>
            <w:szCs w:val="32"/>
          </w:rPr>
          <w:t xml:space="preserve">GB/T 41391-2022, </w:t>
        </w:r>
        <w:r w:rsidRPr="004067A3">
          <w:rPr>
            <w:rFonts w:eastAsia="仿宋_GB2312"/>
            <w:kern w:val="0"/>
            <w:sz w:val="32"/>
            <w:szCs w:val="32"/>
          </w:rPr>
          <w:t>信息安全技术</w:t>
        </w:r>
        <w:r w:rsidRPr="004067A3">
          <w:rPr>
            <w:rFonts w:eastAsia="仿宋_GB2312"/>
            <w:kern w:val="0"/>
            <w:sz w:val="32"/>
            <w:szCs w:val="32"/>
          </w:rPr>
          <w:t> </w:t>
        </w:r>
        <w:r w:rsidRPr="004067A3">
          <w:rPr>
            <w:rFonts w:eastAsia="仿宋_GB2312"/>
            <w:kern w:val="0"/>
            <w:sz w:val="32"/>
            <w:szCs w:val="32"/>
          </w:rPr>
          <w:t>移动互联网应用程序（</w:t>
        </w:r>
        <w:r w:rsidRPr="004067A3">
          <w:rPr>
            <w:rFonts w:eastAsia="仿宋_GB2312"/>
            <w:kern w:val="0"/>
            <w:sz w:val="32"/>
            <w:szCs w:val="32"/>
          </w:rPr>
          <w:t>App</w:t>
        </w:r>
        <w:r w:rsidRPr="004067A3">
          <w:rPr>
            <w:rFonts w:eastAsia="仿宋_GB2312"/>
            <w:kern w:val="0"/>
            <w:sz w:val="32"/>
            <w:szCs w:val="32"/>
          </w:rPr>
          <w:t>）收集个人信息基本要求</w:t>
        </w:r>
      </w:hyperlink>
      <w:r w:rsidRPr="004067A3">
        <w:rPr>
          <w:rFonts w:eastAsia="仿宋_GB2312"/>
          <w:kern w:val="0"/>
          <w:sz w:val="32"/>
          <w:szCs w:val="32"/>
        </w:rPr>
        <w:t>[S].</w:t>
      </w:r>
    </w:p>
    <w:p w:rsidR="004067A3" w:rsidRPr="004067A3" w:rsidRDefault="004067A3" w:rsidP="004067A3">
      <w:pPr>
        <w:widowControl/>
        <w:spacing w:line="520" w:lineRule="exact"/>
        <w:ind w:firstLineChars="200" w:firstLine="640"/>
        <w:rPr>
          <w:rFonts w:eastAsia="仿宋_GB2312"/>
          <w:kern w:val="0"/>
          <w:sz w:val="32"/>
          <w:szCs w:val="32"/>
        </w:rPr>
      </w:pPr>
      <w:r w:rsidRPr="004067A3">
        <w:rPr>
          <w:rFonts w:eastAsia="仿宋_GB2312"/>
          <w:kern w:val="0"/>
          <w:sz w:val="32"/>
          <w:szCs w:val="32"/>
        </w:rPr>
        <w:t xml:space="preserve">[31] GB/T 42061-2022, </w:t>
      </w:r>
      <w:r w:rsidRPr="004067A3">
        <w:rPr>
          <w:rFonts w:eastAsia="仿宋_GB2312"/>
          <w:kern w:val="0"/>
          <w:sz w:val="32"/>
          <w:szCs w:val="32"/>
        </w:rPr>
        <w:t>医疗器械</w:t>
      </w:r>
      <w:r w:rsidRPr="004067A3">
        <w:rPr>
          <w:rFonts w:eastAsia="仿宋_GB2312"/>
          <w:kern w:val="0"/>
          <w:sz w:val="32"/>
          <w:szCs w:val="32"/>
        </w:rPr>
        <w:t xml:space="preserve"> </w:t>
      </w:r>
      <w:r w:rsidRPr="004067A3">
        <w:rPr>
          <w:rFonts w:eastAsia="仿宋_GB2312"/>
          <w:kern w:val="0"/>
          <w:sz w:val="32"/>
          <w:szCs w:val="32"/>
        </w:rPr>
        <w:t>质量管理体系</w:t>
      </w:r>
      <w:r w:rsidRPr="004067A3">
        <w:rPr>
          <w:rFonts w:eastAsia="仿宋_GB2312"/>
          <w:kern w:val="0"/>
          <w:sz w:val="32"/>
          <w:szCs w:val="32"/>
        </w:rPr>
        <w:t xml:space="preserve"> </w:t>
      </w:r>
      <w:r w:rsidRPr="004067A3">
        <w:rPr>
          <w:rFonts w:eastAsia="仿宋_GB2312"/>
          <w:kern w:val="0"/>
          <w:sz w:val="32"/>
          <w:szCs w:val="32"/>
        </w:rPr>
        <w:t>用于法规的要求</w:t>
      </w:r>
      <w:r w:rsidRPr="004067A3">
        <w:rPr>
          <w:rFonts w:eastAsia="仿宋_GB2312"/>
          <w:kern w:val="0"/>
          <w:sz w:val="32"/>
          <w:szCs w:val="32"/>
        </w:rPr>
        <w:t>[S].</w:t>
      </w:r>
    </w:p>
    <w:p w:rsidR="004067A3" w:rsidRPr="004067A3" w:rsidRDefault="004067A3" w:rsidP="004067A3">
      <w:pPr>
        <w:widowControl/>
        <w:spacing w:line="520" w:lineRule="exact"/>
        <w:ind w:firstLineChars="200" w:firstLine="640"/>
        <w:rPr>
          <w:rFonts w:eastAsia="仿宋_GB2312"/>
          <w:kern w:val="0"/>
          <w:sz w:val="32"/>
          <w:szCs w:val="32"/>
        </w:rPr>
      </w:pPr>
      <w:r w:rsidRPr="004067A3">
        <w:rPr>
          <w:rFonts w:eastAsia="仿宋_GB2312"/>
          <w:kern w:val="0"/>
          <w:sz w:val="32"/>
          <w:szCs w:val="32"/>
        </w:rPr>
        <w:t xml:space="preserve">[32] GB/T 42062-2022, </w:t>
      </w:r>
      <w:r w:rsidRPr="004067A3">
        <w:rPr>
          <w:rFonts w:eastAsia="仿宋_GB2312"/>
          <w:kern w:val="0"/>
          <w:sz w:val="32"/>
          <w:szCs w:val="32"/>
        </w:rPr>
        <w:t>医疗器械</w:t>
      </w:r>
      <w:r w:rsidRPr="004067A3">
        <w:rPr>
          <w:rFonts w:eastAsia="仿宋_GB2312"/>
          <w:kern w:val="0"/>
          <w:sz w:val="32"/>
          <w:szCs w:val="32"/>
        </w:rPr>
        <w:t xml:space="preserve"> </w:t>
      </w:r>
      <w:r w:rsidRPr="004067A3">
        <w:rPr>
          <w:rFonts w:eastAsia="仿宋_GB2312"/>
          <w:kern w:val="0"/>
          <w:sz w:val="32"/>
          <w:szCs w:val="32"/>
        </w:rPr>
        <w:t>风险管理对医疗器械的应用</w:t>
      </w:r>
      <w:r w:rsidRPr="004067A3">
        <w:rPr>
          <w:rFonts w:eastAsia="仿宋_GB2312"/>
          <w:kern w:val="0"/>
          <w:sz w:val="32"/>
          <w:szCs w:val="32"/>
        </w:rPr>
        <w:t>[S].</w:t>
      </w:r>
    </w:p>
    <w:p w:rsidR="004067A3" w:rsidRPr="004067A3" w:rsidRDefault="004067A3" w:rsidP="004067A3">
      <w:pPr>
        <w:widowControl/>
        <w:spacing w:line="520" w:lineRule="exact"/>
        <w:ind w:firstLineChars="200" w:firstLine="640"/>
        <w:rPr>
          <w:rFonts w:eastAsia="仿宋_GB2312"/>
          <w:kern w:val="0"/>
          <w:sz w:val="32"/>
          <w:szCs w:val="32"/>
        </w:rPr>
      </w:pPr>
      <w:r w:rsidRPr="004067A3">
        <w:rPr>
          <w:rFonts w:eastAsia="仿宋_GB2312"/>
          <w:kern w:val="0"/>
          <w:sz w:val="32"/>
          <w:szCs w:val="32"/>
        </w:rPr>
        <w:t xml:space="preserve">[33] </w:t>
      </w:r>
      <w:r w:rsidRPr="004067A3">
        <w:rPr>
          <w:rFonts w:eastAsia="仿宋_GB2312"/>
          <w:bCs/>
          <w:sz w:val="32"/>
          <w:szCs w:val="32"/>
        </w:rPr>
        <w:t>GB/T 42396-2023</w:t>
      </w:r>
      <w:r w:rsidRPr="004067A3">
        <w:rPr>
          <w:rFonts w:eastAsia="仿宋_GB2312"/>
          <w:kern w:val="0"/>
          <w:sz w:val="32"/>
          <w:szCs w:val="32"/>
        </w:rPr>
        <w:t xml:space="preserve">, </w:t>
      </w:r>
      <w:r w:rsidRPr="004067A3">
        <w:rPr>
          <w:rFonts w:eastAsia="仿宋_GB2312"/>
          <w:bCs/>
          <w:sz w:val="32"/>
          <w:szCs w:val="32"/>
        </w:rPr>
        <w:t>移动终端人</w:t>
      </w:r>
      <w:r w:rsidRPr="004067A3">
        <w:rPr>
          <w:rFonts w:eastAsia="仿宋_GB2312"/>
          <w:bCs/>
          <w:sz w:val="32"/>
          <w:szCs w:val="32"/>
        </w:rPr>
        <w:t>-</w:t>
      </w:r>
      <w:r w:rsidRPr="004067A3">
        <w:rPr>
          <w:rFonts w:eastAsia="仿宋_GB2312"/>
          <w:bCs/>
          <w:sz w:val="32"/>
          <w:szCs w:val="32"/>
        </w:rPr>
        <w:t>系统交互工效学</w:t>
      </w:r>
      <w:r w:rsidRPr="004067A3">
        <w:rPr>
          <w:rFonts w:eastAsia="仿宋_GB2312"/>
          <w:bCs/>
          <w:sz w:val="32"/>
          <w:szCs w:val="32"/>
        </w:rPr>
        <w:t xml:space="preserve"> </w:t>
      </w:r>
      <w:r w:rsidRPr="004067A3">
        <w:rPr>
          <w:rFonts w:eastAsia="仿宋_GB2312"/>
          <w:bCs/>
          <w:sz w:val="32"/>
          <w:szCs w:val="32"/>
        </w:rPr>
        <w:t>触控界面感知流畅性</w:t>
      </w:r>
      <w:r w:rsidRPr="004067A3">
        <w:rPr>
          <w:rFonts w:eastAsia="仿宋_GB2312"/>
          <w:kern w:val="0"/>
          <w:sz w:val="32"/>
          <w:szCs w:val="32"/>
        </w:rPr>
        <w:t>[S].</w:t>
      </w:r>
    </w:p>
    <w:p w:rsidR="004067A3" w:rsidRPr="004067A3" w:rsidRDefault="004067A3" w:rsidP="004067A3">
      <w:pPr>
        <w:widowControl/>
        <w:spacing w:line="520" w:lineRule="exact"/>
        <w:ind w:firstLineChars="200" w:firstLine="640"/>
        <w:rPr>
          <w:rFonts w:eastAsia="仿宋_GB2312"/>
          <w:kern w:val="0"/>
          <w:sz w:val="32"/>
          <w:szCs w:val="32"/>
        </w:rPr>
      </w:pPr>
      <w:r w:rsidRPr="004067A3">
        <w:rPr>
          <w:rFonts w:eastAsia="仿宋_GB2312"/>
          <w:kern w:val="0"/>
          <w:sz w:val="32"/>
          <w:szCs w:val="32"/>
        </w:rPr>
        <w:t xml:space="preserve">[34] </w:t>
      </w:r>
      <w:hyperlink r:id="rId14" w:tgtFrame="https://std.samr.gov.cn/search/_blank" w:history="1">
        <w:r w:rsidRPr="004067A3">
          <w:rPr>
            <w:rFonts w:eastAsia="仿宋_GB2312"/>
            <w:kern w:val="0"/>
            <w:sz w:val="32"/>
            <w:szCs w:val="32"/>
          </w:rPr>
          <w:t xml:space="preserve">GB/T 42582-2023, </w:t>
        </w:r>
        <w:r w:rsidRPr="004067A3">
          <w:rPr>
            <w:rFonts w:eastAsia="仿宋_GB2312"/>
            <w:kern w:val="0"/>
            <w:sz w:val="32"/>
            <w:szCs w:val="32"/>
          </w:rPr>
          <w:t>信息安全技术</w:t>
        </w:r>
        <w:r w:rsidRPr="004067A3">
          <w:rPr>
            <w:rFonts w:eastAsia="仿宋_GB2312"/>
            <w:kern w:val="0"/>
            <w:sz w:val="32"/>
            <w:szCs w:val="32"/>
          </w:rPr>
          <w:t> </w:t>
        </w:r>
        <w:r w:rsidRPr="004067A3">
          <w:rPr>
            <w:rFonts w:eastAsia="仿宋_GB2312"/>
            <w:kern w:val="0"/>
            <w:sz w:val="32"/>
            <w:szCs w:val="32"/>
          </w:rPr>
          <w:t>移动互联网应用程序（</w:t>
        </w:r>
        <w:r w:rsidRPr="004067A3">
          <w:rPr>
            <w:rFonts w:eastAsia="仿宋_GB2312"/>
            <w:kern w:val="0"/>
            <w:sz w:val="32"/>
            <w:szCs w:val="32"/>
          </w:rPr>
          <w:t>App</w:t>
        </w:r>
        <w:r w:rsidRPr="004067A3">
          <w:rPr>
            <w:rFonts w:eastAsia="仿宋_GB2312"/>
            <w:kern w:val="0"/>
            <w:sz w:val="32"/>
            <w:szCs w:val="32"/>
          </w:rPr>
          <w:t>）个人信息安全测评规范</w:t>
        </w:r>
      </w:hyperlink>
      <w:r w:rsidRPr="004067A3">
        <w:rPr>
          <w:rFonts w:eastAsia="仿宋_GB2312"/>
          <w:kern w:val="0"/>
          <w:sz w:val="32"/>
          <w:szCs w:val="32"/>
        </w:rPr>
        <w:t>[S].</w:t>
      </w:r>
    </w:p>
    <w:p w:rsidR="004067A3" w:rsidRPr="004067A3" w:rsidRDefault="004067A3" w:rsidP="004067A3">
      <w:pPr>
        <w:widowControl/>
        <w:spacing w:line="520" w:lineRule="exact"/>
        <w:ind w:firstLineChars="200" w:firstLine="640"/>
        <w:rPr>
          <w:rFonts w:eastAsia="仿宋_GB2312"/>
          <w:kern w:val="0"/>
          <w:sz w:val="32"/>
          <w:szCs w:val="32"/>
        </w:rPr>
      </w:pPr>
      <w:r w:rsidRPr="004067A3">
        <w:rPr>
          <w:rFonts w:eastAsia="仿宋_GB2312"/>
          <w:kern w:val="0"/>
          <w:sz w:val="32"/>
          <w:szCs w:val="32"/>
        </w:rPr>
        <w:t xml:space="preserve">[35] GB/T 42884-2023, </w:t>
      </w:r>
      <w:r w:rsidRPr="004067A3">
        <w:rPr>
          <w:rFonts w:eastAsia="仿宋_GB2312"/>
          <w:kern w:val="0"/>
          <w:sz w:val="32"/>
          <w:szCs w:val="32"/>
        </w:rPr>
        <w:t>信息安全技术</w:t>
      </w:r>
      <w:r w:rsidRPr="004067A3">
        <w:rPr>
          <w:rFonts w:eastAsia="仿宋_GB2312"/>
          <w:kern w:val="0"/>
          <w:sz w:val="32"/>
          <w:szCs w:val="32"/>
        </w:rPr>
        <w:t xml:space="preserve"> </w:t>
      </w:r>
      <w:r w:rsidRPr="004067A3">
        <w:rPr>
          <w:rFonts w:eastAsia="仿宋_GB2312"/>
          <w:kern w:val="0"/>
          <w:sz w:val="32"/>
          <w:szCs w:val="32"/>
        </w:rPr>
        <w:t>移动互联网应用程序（</w:t>
      </w:r>
      <w:r w:rsidRPr="004067A3">
        <w:rPr>
          <w:rFonts w:eastAsia="仿宋_GB2312"/>
          <w:kern w:val="0"/>
          <w:sz w:val="32"/>
          <w:szCs w:val="32"/>
        </w:rPr>
        <w:t>App</w:t>
      </w:r>
      <w:r w:rsidRPr="004067A3">
        <w:rPr>
          <w:rFonts w:eastAsia="仿宋_GB2312"/>
          <w:kern w:val="0"/>
          <w:sz w:val="32"/>
          <w:szCs w:val="32"/>
        </w:rPr>
        <w:t>）生命周期安全管理指南</w:t>
      </w:r>
      <w:r w:rsidRPr="004067A3">
        <w:rPr>
          <w:rFonts w:eastAsia="仿宋_GB2312"/>
          <w:kern w:val="0"/>
          <w:sz w:val="32"/>
          <w:szCs w:val="32"/>
        </w:rPr>
        <w:t>[S].</w:t>
      </w:r>
    </w:p>
    <w:p w:rsidR="004067A3" w:rsidRPr="004067A3" w:rsidRDefault="004067A3" w:rsidP="004067A3">
      <w:pPr>
        <w:widowControl/>
        <w:spacing w:line="520" w:lineRule="exact"/>
        <w:ind w:firstLineChars="200" w:firstLine="640"/>
        <w:rPr>
          <w:rFonts w:eastAsia="仿宋_GB2312"/>
          <w:kern w:val="0"/>
          <w:sz w:val="32"/>
          <w:szCs w:val="32"/>
        </w:rPr>
      </w:pPr>
      <w:r w:rsidRPr="004067A3">
        <w:rPr>
          <w:rFonts w:eastAsia="仿宋_GB2312"/>
          <w:kern w:val="0"/>
          <w:sz w:val="32"/>
          <w:szCs w:val="32"/>
        </w:rPr>
        <w:lastRenderedPageBreak/>
        <w:t xml:space="preserve">[36] GB/T 42984.1-2023, </w:t>
      </w:r>
      <w:r w:rsidRPr="004067A3">
        <w:rPr>
          <w:rFonts w:eastAsia="仿宋_GB2312"/>
          <w:kern w:val="0"/>
          <w:sz w:val="32"/>
          <w:szCs w:val="32"/>
        </w:rPr>
        <w:t>健康软件</w:t>
      </w:r>
      <w:r w:rsidRPr="004067A3">
        <w:rPr>
          <w:rFonts w:eastAsia="仿宋_GB2312"/>
          <w:kern w:val="0"/>
          <w:sz w:val="32"/>
          <w:szCs w:val="32"/>
        </w:rPr>
        <w:t xml:space="preserve"> </w:t>
      </w:r>
      <w:r w:rsidRPr="004067A3">
        <w:rPr>
          <w:rFonts w:eastAsia="仿宋_GB2312"/>
          <w:kern w:val="0"/>
          <w:sz w:val="32"/>
          <w:szCs w:val="32"/>
        </w:rPr>
        <w:t>第</w:t>
      </w:r>
      <w:r w:rsidRPr="004067A3">
        <w:rPr>
          <w:rFonts w:eastAsia="仿宋_GB2312"/>
          <w:kern w:val="0"/>
          <w:sz w:val="32"/>
          <w:szCs w:val="32"/>
        </w:rPr>
        <w:t>1</w:t>
      </w:r>
      <w:r w:rsidRPr="004067A3">
        <w:rPr>
          <w:rFonts w:eastAsia="仿宋_GB2312"/>
          <w:kern w:val="0"/>
          <w:sz w:val="32"/>
          <w:szCs w:val="32"/>
        </w:rPr>
        <w:t>部分</w:t>
      </w:r>
      <w:r w:rsidRPr="004067A3">
        <w:rPr>
          <w:rFonts w:eastAsia="仿宋_GB2312"/>
          <w:kern w:val="0"/>
          <w:sz w:val="32"/>
          <w:szCs w:val="32"/>
        </w:rPr>
        <w:t xml:space="preserve">: </w:t>
      </w:r>
      <w:r w:rsidRPr="004067A3">
        <w:rPr>
          <w:rFonts w:eastAsia="仿宋_GB2312"/>
          <w:kern w:val="0"/>
          <w:sz w:val="32"/>
          <w:szCs w:val="32"/>
        </w:rPr>
        <w:t>产品安全的通用要求</w:t>
      </w:r>
      <w:r w:rsidRPr="004067A3">
        <w:rPr>
          <w:rFonts w:eastAsia="仿宋_GB2312"/>
          <w:kern w:val="0"/>
          <w:sz w:val="32"/>
          <w:szCs w:val="32"/>
        </w:rPr>
        <w:t>[S].</w:t>
      </w:r>
    </w:p>
    <w:p w:rsidR="004067A3" w:rsidRPr="004067A3" w:rsidRDefault="004067A3" w:rsidP="004067A3">
      <w:pPr>
        <w:widowControl/>
        <w:spacing w:line="520" w:lineRule="exact"/>
        <w:ind w:firstLineChars="200" w:firstLine="640"/>
        <w:rPr>
          <w:rFonts w:eastAsia="仿宋_GB2312"/>
          <w:kern w:val="0"/>
          <w:sz w:val="32"/>
          <w:szCs w:val="32"/>
        </w:rPr>
      </w:pPr>
      <w:r w:rsidRPr="004067A3">
        <w:rPr>
          <w:rFonts w:eastAsia="仿宋_GB2312"/>
          <w:kern w:val="0"/>
          <w:sz w:val="32"/>
          <w:szCs w:val="32"/>
        </w:rPr>
        <w:t xml:space="preserve">[37] YY/T 0664-2020, </w:t>
      </w:r>
      <w:r w:rsidRPr="004067A3">
        <w:rPr>
          <w:rFonts w:eastAsia="仿宋_GB2312"/>
          <w:kern w:val="0"/>
          <w:sz w:val="32"/>
          <w:szCs w:val="32"/>
        </w:rPr>
        <w:t>医疗器械软件</w:t>
      </w:r>
      <w:r w:rsidRPr="004067A3">
        <w:rPr>
          <w:rFonts w:eastAsia="仿宋_GB2312"/>
          <w:kern w:val="0"/>
          <w:sz w:val="32"/>
          <w:szCs w:val="32"/>
        </w:rPr>
        <w:t xml:space="preserve"> </w:t>
      </w:r>
      <w:r w:rsidRPr="004067A3">
        <w:rPr>
          <w:rFonts w:eastAsia="仿宋_GB2312"/>
          <w:kern w:val="0"/>
          <w:sz w:val="32"/>
          <w:szCs w:val="32"/>
        </w:rPr>
        <w:t>软件生存周期过程</w:t>
      </w:r>
      <w:r w:rsidRPr="004067A3">
        <w:rPr>
          <w:rFonts w:eastAsia="仿宋_GB2312"/>
          <w:kern w:val="0"/>
          <w:sz w:val="32"/>
          <w:szCs w:val="32"/>
        </w:rPr>
        <w:t>[S].</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sz w:val="32"/>
          <w:szCs w:val="32"/>
        </w:rPr>
      </w:pPr>
      <w:r w:rsidRPr="004067A3">
        <w:rPr>
          <w:rFonts w:ascii="Times New Roman" w:eastAsia="仿宋_GB2312" w:cs="Times New Roman"/>
          <w:bCs/>
          <w:color w:val="auto"/>
          <w:sz w:val="32"/>
          <w:szCs w:val="32"/>
        </w:rPr>
        <w:t xml:space="preserve">[38] YY/T 0910.1-2021, </w:t>
      </w:r>
      <w:r w:rsidRPr="004067A3">
        <w:rPr>
          <w:rFonts w:ascii="Times New Roman" w:eastAsia="仿宋_GB2312" w:cs="Times New Roman"/>
          <w:bCs/>
          <w:color w:val="auto"/>
          <w:sz w:val="32"/>
          <w:szCs w:val="32"/>
        </w:rPr>
        <w:t>医用电气设备</w:t>
      </w:r>
      <w:r w:rsidRPr="004067A3">
        <w:rPr>
          <w:rFonts w:ascii="Times New Roman" w:eastAsia="仿宋_GB2312" w:cs="Times New Roman"/>
          <w:bCs/>
          <w:color w:val="auto"/>
          <w:sz w:val="32"/>
          <w:szCs w:val="32"/>
        </w:rPr>
        <w:t xml:space="preserve"> </w:t>
      </w:r>
      <w:r w:rsidRPr="004067A3">
        <w:rPr>
          <w:rFonts w:ascii="Times New Roman" w:eastAsia="仿宋_GB2312" w:cs="Times New Roman"/>
          <w:bCs/>
          <w:color w:val="auto"/>
          <w:sz w:val="32"/>
          <w:szCs w:val="32"/>
        </w:rPr>
        <w:t>医学影像显示系统</w:t>
      </w:r>
      <w:r w:rsidRPr="004067A3">
        <w:rPr>
          <w:rFonts w:ascii="Times New Roman" w:eastAsia="仿宋_GB2312" w:cs="Times New Roman"/>
          <w:bCs/>
          <w:color w:val="auto"/>
          <w:sz w:val="32"/>
          <w:szCs w:val="32"/>
        </w:rPr>
        <w:t xml:space="preserve"> </w:t>
      </w:r>
      <w:r w:rsidRPr="004067A3">
        <w:rPr>
          <w:rFonts w:ascii="Times New Roman" w:eastAsia="仿宋_GB2312" w:cs="Times New Roman"/>
          <w:bCs/>
          <w:color w:val="auto"/>
          <w:sz w:val="32"/>
          <w:szCs w:val="32"/>
        </w:rPr>
        <w:t>第</w:t>
      </w:r>
      <w:r w:rsidRPr="004067A3">
        <w:rPr>
          <w:rFonts w:ascii="Times New Roman" w:eastAsia="仿宋_GB2312" w:cs="Times New Roman"/>
          <w:bCs/>
          <w:color w:val="auto"/>
          <w:sz w:val="32"/>
          <w:szCs w:val="32"/>
        </w:rPr>
        <w:t>1</w:t>
      </w:r>
      <w:r w:rsidRPr="004067A3">
        <w:rPr>
          <w:rFonts w:ascii="Times New Roman" w:eastAsia="仿宋_GB2312" w:cs="Times New Roman"/>
          <w:bCs/>
          <w:color w:val="auto"/>
          <w:sz w:val="32"/>
          <w:szCs w:val="32"/>
        </w:rPr>
        <w:t>部分：评价方法</w:t>
      </w:r>
      <w:r w:rsidRPr="004067A3">
        <w:rPr>
          <w:rFonts w:ascii="Times New Roman" w:eastAsia="仿宋_GB2312" w:cs="Times New Roman"/>
          <w:bCs/>
          <w:color w:val="auto"/>
          <w:sz w:val="32"/>
          <w:szCs w:val="32"/>
        </w:rPr>
        <w:t>[S].</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[39] IMDRF, Software as a Medical Device(SaMD)</w:t>
      </w:r>
      <w:r w:rsidRPr="004067A3">
        <w:rPr>
          <w:rFonts w:ascii="Times New Roman" w:eastAsia="仿宋_GB2312" w:cs="Times New Roman"/>
          <w:bCs/>
          <w:color w:val="auto"/>
          <w:sz w:val="32"/>
          <w:szCs w:val="32"/>
        </w:rPr>
        <w:t>：</w:t>
      </w:r>
      <w:r w:rsidRPr="004067A3">
        <w:rPr>
          <w:rFonts w:ascii="Times New Roman" w:eastAsia="仿宋_GB2312" w:cs="Times New Roman"/>
          <w:bCs/>
          <w:color w:val="auto"/>
          <w:sz w:val="32"/>
          <w:szCs w:val="32"/>
        </w:rPr>
        <w:t>Key Definitions(N10)[Z], 2013.12.18.</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bookmarkStart w:id="14" w:name="OLE_LINK9"/>
      <w:r w:rsidRPr="004067A3">
        <w:rPr>
          <w:rFonts w:ascii="Times New Roman" w:eastAsia="仿宋_GB2312" w:cs="Times New Roman"/>
          <w:bCs/>
          <w:color w:val="auto"/>
          <w:sz w:val="32"/>
          <w:szCs w:val="32"/>
        </w:rPr>
        <w:t>[40]</w:t>
      </w:r>
      <w:bookmarkEnd w:id="14"/>
      <w:r w:rsidRPr="004067A3">
        <w:rPr>
          <w:rFonts w:ascii="Times New Roman" w:eastAsia="仿宋_GB2312" w:cs="Times New Roman"/>
          <w:bCs/>
          <w:color w:val="auto"/>
          <w:sz w:val="32"/>
          <w:szCs w:val="32"/>
        </w:rPr>
        <w:t xml:space="preserve"> IMDRF, Software as a Medical Device(SaMD)</w:t>
      </w:r>
      <w:r w:rsidRPr="004067A3">
        <w:rPr>
          <w:rFonts w:ascii="Times New Roman" w:eastAsia="仿宋_GB2312" w:cs="Times New Roman"/>
          <w:bCs/>
          <w:color w:val="auto"/>
          <w:sz w:val="32"/>
          <w:szCs w:val="32"/>
        </w:rPr>
        <w:t>：</w:t>
      </w:r>
      <w:r w:rsidRPr="004067A3">
        <w:rPr>
          <w:rFonts w:ascii="Times New Roman" w:eastAsia="仿宋_GB2312" w:cs="Times New Roman"/>
          <w:bCs/>
          <w:color w:val="auto"/>
          <w:sz w:val="32"/>
          <w:szCs w:val="32"/>
        </w:rPr>
        <w:t>Possible Framework for Risk Categorization and Corresponding Considerations(N12)[Z], 2014.9.18.</w:t>
      </w:r>
    </w:p>
    <w:p w:rsidR="004067A3" w:rsidRPr="004067A3" w:rsidRDefault="004067A3" w:rsidP="004067A3">
      <w:pPr>
        <w:overflowPunct w:val="0"/>
        <w:spacing w:line="520" w:lineRule="exact"/>
        <w:ind w:firstLineChars="200" w:firstLine="640"/>
        <w:rPr>
          <w:rFonts w:eastAsia="仿宋_GB2312"/>
          <w:bCs/>
          <w:sz w:val="32"/>
          <w:szCs w:val="32"/>
        </w:rPr>
      </w:pPr>
      <w:r w:rsidRPr="004067A3">
        <w:rPr>
          <w:rFonts w:eastAsia="仿宋_GB2312"/>
          <w:kern w:val="0"/>
          <w:sz w:val="32"/>
          <w:szCs w:val="32"/>
        </w:rPr>
        <w:t>[41] IMDRF</w:t>
      </w:r>
      <w:r w:rsidRPr="004067A3">
        <w:rPr>
          <w:rFonts w:eastAsia="仿宋_GB2312"/>
          <w:bCs/>
          <w:kern w:val="0"/>
          <w:sz w:val="32"/>
          <w:szCs w:val="32"/>
        </w:rPr>
        <w:t xml:space="preserve">, </w:t>
      </w:r>
      <w:r w:rsidRPr="004067A3">
        <w:rPr>
          <w:rFonts w:eastAsia="仿宋_GB2312"/>
          <w:bCs/>
          <w:sz w:val="32"/>
          <w:szCs w:val="32"/>
        </w:rPr>
        <w:t xml:space="preserve">Software as a Medical Device(SaMD): </w:t>
      </w:r>
      <w:r w:rsidRPr="004067A3">
        <w:rPr>
          <w:rFonts w:eastAsia="仿宋_GB2312"/>
          <w:kern w:val="0"/>
          <w:sz w:val="32"/>
          <w:szCs w:val="32"/>
        </w:rPr>
        <w:t>Application of Quality Management System(N23)[Z]</w:t>
      </w:r>
      <w:r w:rsidRPr="004067A3">
        <w:rPr>
          <w:rFonts w:eastAsia="仿宋_GB2312"/>
          <w:bCs/>
          <w:kern w:val="0"/>
          <w:sz w:val="32"/>
          <w:szCs w:val="32"/>
        </w:rPr>
        <w:t xml:space="preserve">, </w:t>
      </w:r>
      <w:r w:rsidRPr="004067A3">
        <w:rPr>
          <w:rFonts w:eastAsia="仿宋_GB2312"/>
          <w:kern w:val="0"/>
          <w:sz w:val="32"/>
          <w:szCs w:val="32"/>
        </w:rPr>
        <w:t>2015.10.2.</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[42] IMDRF, Software as a Medical Device(SaMD)</w:t>
      </w:r>
      <w:r w:rsidRPr="004067A3">
        <w:rPr>
          <w:rFonts w:ascii="Times New Roman" w:eastAsia="仿宋_GB2312" w:cs="Times New Roman"/>
          <w:bCs/>
          <w:color w:val="auto"/>
          <w:sz w:val="32"/>
          <w:szCs w:val="32"/>
        </w:rPr>
        <w:t>：</w:t>
      </w:r>
      <w:r w:rsidRPr="004067A3">
        <w:rPr>
          <w:rFonts w:ascii="Times New Roman" w:eastAsia="仿宋_GB2312" w:cs="Times New Roman"/>
          <w:bCs/>
          <w:color w:val="auto"/>
          <w:sz w:val="32"/>
          <w:szCs w:val="32"/>
        </w:rPr>
        <w:t>Clinical Evaluation(N41)[Z], 2017.9.21.</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[43] FDA, General Wellness: Policy for Low Risk Devices[Z], 2019.9.27.</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 xml:space="preserve">[44] FDA, </w:t>
      </w:r>
      <w:hyperlink r:id="rId15" w:tooltip="Policy for Device Software Functions and Mobile Medical Applications" w:history="1">
        <w:r w:rsidRPr="004067A3">
          <w:rPr>
            <w:rFonts w:ascii="Times New Roman" w:eastAsia="仿宋_GB2312" w:cs="Times New Roman"/>
            <w:bCs/>
            <w:color w:val="auto"/>
            <w:sz w:val="32"/>
            <w:szCs w:val="32"/>
          </w:rPr>
          <w:t>Policy for Device Software Functions and Mobile Medical Applications</w:t>
        </w:r>
      </w:hyperlink>
      <w:r w:rsidRPr="004067A3">
        <w:rPr>
          <w:rFonts w:ascii="Times New Roman" w:eastAsia="仿宋_GB2312" w:cs="Times New Roman"/>
          <w:bCs/>
          <w:color w:val="auto"/>
          <w:sz w:val="32"/>
          <w:szCs w:val="32"/>
        </w:rPr>
        <w:t>[Z], 2022.9.28.</w:t>
      </w:r>
    </w:p>
    <w:p w:rsidR="004067A3" w:rsidRPr="004067A3" w:rsidRDefault="004067A3" w:rsidP="004067A3">
      <w:pPr>
        <w:overflowPunct w:val="0"/>
        <w:spacing w:line="520" w:lineRule="exact"/>
        <w:ind w:firstLineChars="200" w:firstLine="640"/>
        <w:rPr>
          <w:rFonts w:eastAsia="仿宋_GB2312"/>
          <w:bCs/>
          <w:kern w:val="0"/>
          <w:sz w:val="32"/>
          <w:szCs w:val="32"/>
        </w:rPr>
      </w:pPr>
      <w:r w:rsidRPr="004067A3">
        <w:rPr>
          <w:rFonts w:eastAsia="仿宋_GB2312"/>
          <w:bCs/>
          <w:kern w:val="0"/>
          <w:sz w:val="32"/>
          <w:szCs w:val="32"/>
        </w:rPr>
        <w:t>[45] EC, Qualification and Classification of Standalone Software</w:t>
      </w:r>
      <w:r w:rsidRPr="004067A3">
        <w:rPr>
          <w:rFonts w:eastAsia="仿宋_GB2312"/>
          <w:bCs/>
          <w:kern w:val="0"/>
          <w:sz w:val="32"/>
          <w:szCs w:val="32"/>
        </w:rPr>
        <w:t>（</w:t>
      </w:r>
      <w:r w:rsidRPr="004067A3">
        <w:rPr>
          <w:rFonts w:eastAsia="仿宋_GB2312"/>
          <w:bCs/>
          <w:kern w:val="0"/>
          <w:sz w:val="32"/>
          <w:szCs w:val="32"/>
        </w:rPr>
        <w:t>MEDDEV 2.1/6</w:t>
      </w:r>
      <w:r w:rsidRPr="004067A3">
        <w:rPr>
          <w:rFonts w:eastAsia="仿宋_GB2312"/>
          <w:bCs/>
          <w:kern w:val="0"/>
          <w:sz w:val="32"/>
          <w:szCs w:val="32"/>
        </w:rPr>
        <w:t>）</w:t>
      </w:r>
      <w:r w:rsidRPr="004067A3">
        <w:rPr>
          <w:rFonts w:eastAsia="仿宋_GB2312"/>
          <w:bCs/>
          <w:kern w:val="0"/>
          <w:sz w:val="32"/>
          <w:szCs w:val="32"/>
        </w:rPr>
        <w:t>[Z], 2016.7.15.</w:t>
      </w:r>
    </w:p>
    <w:p w:rsidR="004067A3" w:rsidRPr="004067A3" w:rsidRDefault="004067A3" w:rsidP="004067A3">
      <w:pPr>
        <w:widowControl/>
        <w:spacing w:line="520" w:lineRule="exact"/>
        <w:ind w:firstLineChars="200" w:firstLine="640"/>
        <w:rPr>
          <w:rFonts w:eastAsia="仿宋_GB2312"/>
          <w:bCs/>
          <w:sz w:val="32"/>
          <w:szCs w:val="32"/>
        </w:rPr>
      </w:pPr>
      <w:r w:rsidRPr="004067A3">
        <w:rPr>
          <w:rFonts w:eastAsia="仿宋_GB2312"/>
          <w:bCs/>
          <w:kern w:val="0"/>
          <w:sz w:val="32"/>
          <w:szCs w:val="32"/>
        </w:rPr>
        <w:t>[46] MDCG, Guidance on Qualification and Classification of Software in Regulation(EU) 2017/745 - MDR and Regulation(EU) 2017/746 - IVDR</w:t>
      </w:r>
      <w:r w:rsidRPr="004067A3">
        <w:rPr>
          <w:rFonts w:eastAsia="仿宋_GB2312"/>
          <w:bCs/>
          <w:kern w:val="0"/>
          <w:sz w:val="32"/>
          <w:szCs w:val="32"/>
        </w:rPr>
        <w:t>（</w:t>
      </w:r>
      <w:r w:rsidRPr="004067A3">
        <w:rPr>
          <w:rFonts w:eastAsia="仿宋_GB2312"/>
          <w:bCs/>
          <w:kern w:val="0"/>
          <w:sz w:val="32"/>
          <w:szCs w:val="32"/>
        </w:rPr>
        <w:t>MDCG 2019-11</w:t>
      </w:r>
      <w:r w:rsidRPr="004067A3">
        <w:rPr>
          <w:rFonts w:eastAsia="仿宋_GB2312"/>
          <w:bCs/>
          <w:kern w:val="0"/>
          <w:sz w:val="32"/>
          <w:szCs w:val="32"/>
        </w:rPr>
        <w:t>）</w:t>
      </w:r>
      <w:r w:rsidRPr="004067A3">
        <w:rPr>
          <w:rFonts w:eastAsia="仿宋_GB2312"/>
          <w:bCs/>
          <w:kern w:val="0"/>
          <w:sz w:val="32"/>
          <w:szCs w:val="32"/>
        </w:rPr>
        <w:t>[Z], 2019.10.</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t>[47] MHRA, Guidance: Medical device stand-alone software including apps (including IVDMDs)[Z], 2023.6.1.</w:t>
      </w:r>
    </w:p>
    <w:p w:rsidR="004067A3" w:rsidRPr="004067A3" w:rsidRDefault="004067A3" w:rsidP="004067A3">
      <w:pPr>
        <w:pStyle w:val="Default"/>
        <w:overflowPunct w:val="0"/>
        <w:autoSpaceDE/>
        <w:autoSpaceDN/>
        <w:adjustRightInd/>
        <w:spacing w:line="520" w:lineRule="exact"/>
        <w:ind w:firstLineChars="200" w:firstLine="640"/>
        <w:jc w:val="both"/>
        <w:rPr>
          <w:rFonts w:ascii="Times New Roman" w:eastAsia="仿宋_GB2312" w:cs="Times New Roman"/>
          <w:bCs/>
          <w:color w:val="auto"/>
          <w:sz w:val="32"/>
          <w:szCs w:val="32"/>
        </w:rPr>
      </w:pPr>
      <w:r w:rsidRPr="004067A3">
        <w:rPr>
          <w:rFonts w:ascii="Times New Roman" w:eastAsia="仿宋_GB2312" w:cs="Times New Roman"/>
          <w:bCs/>
          <w:color w:val="auto"/>
          <w:sz w:val="32"/>
          <w:szCs w:val="32"/>
        </w:rPr>
        <w:lastRenderedPageBreak/>
        <w:t>[48] ISO/TS 82304-2:2021, Health software - Part 2: Health and wellness apps - Quality and reliability[S].</w:t>
      </w:r>
    </w:p>
    <w:p w:rsidR="002D5575" w:rsidRPr="004067A3" w:rsidRDefault="002D5575" w:rsidP="004871DF">
      <w:pPr>
        <w:overflowPunct w:val="0"/>
        <w:spacing w:line="500" w:lineRule="exact"/>
        <w:rPr>
          <w:rFonts w:eastAsia="仿宋_GB2312"/>
          <w:color w:val="000000"/>
          <w:sz w:val="32"/>
          <w:szCs w:val="32"/>
        </w:rPr>
      </w:pPr>
    </w:p>
    <w:p w:rsidR="002D5575" w:rsidRPr="004067A3" w:rsidRDefault="002D5575" w:rsidP="004871DF">
      <w:pPr>
        <w:overflowPunct w:val="0"/>
        <w:spacing w:line="500" w:lineRule="exact"/>
        <w:rPr>
          <w:rFonts w:eastAsia="仿宋_GB2312"/>
          <w:color w:val="000000"/>
          <w:sz w:val="32"/>
          <w:szCs w:val="32"/>
        </w:rPr>
      </w:pPr>
    </w:p>
    <w:p w:rsidR="002D5575" w:rsidRPr="004067A3" w:rsidRDefault="002D5575" w:rsidP="004871DF">
      <w:pPr>
        <w:overflowPunct w:val="0"/>
        <w:spacing w:line="500" w:lineRule="exact"/>
        <w:rPr>
          <w:rFonts w:eastAsia="仿宋_GB2312"/>
          <w:color w:val="000000"/>
          <w:sz w:val="32"/>
          <w:szCs w:val="32"/>
        </w:rPr>
      </w:pPr>
    </w:p>
    <w:p w:rsidR="002D5575" w:rsidRDefault="002D5575" w:rsidP="004871DF">
      <w:pPr>
        <w:overflowPunct w:val="0"/>
        <w:spacing w:line="500" w:lineRule="exact"/>
        <w:rPr>
          <w:rFonts w:eastAsia="仿宋_GB2312"/>
          <w:color w:val="000000"/>
          <w:sz w:val="32"/>
          <w:szCs w:val="32"/>
        </w:rPr>
      </w:pPr>
    </w:p>
    <w:p w:rsidR="004067A3" w:rsidRDefault="004067A3" w:rsidP="004871DF">
      <w:pPr>
        <w:overflowPunct w:val="0"/>
        <w:spacing w:line="500" w:lineRule="exact"/>
        <w:rPr>
          <w:rFonts w:eastAsia="仿宋_GB2312"/>
          <w:color w:val="000000"/>
          <w:sz w:val="32"/>
          <w:szCs w:val="32"/>
        </w:rPr>
      </w:pPr>
    </w:p>
    <w:p w:rsidR="004067A3" w:rsidRDefault="004067A3" w:rsidP="004871DF">
      <w:pPr>
        <w:overflowPunct w:val="0"/>
        <w:spacing w:line="500" w:lineRule="exact"/>
        <w:rPr>
          <w:rFonts w:eastAsia="仿宋_GB2312"/>
          <w:color w:val="000000"/>
          <w:sz w:val="32"/>
          <w:szCs w:val="32"/>
        </w:rPr>
      </w:pPr>
    </w:p>
    <w:p w:rsidR="004067A3" w:rsidRDefault="004067A3" w:rsidP="004871DF">
      <w:pPr>
        <w:overflowPunct w:val="0"/>
        <w:spacing w:line="500" w:lineRule="exact"/>
        <w:rPr>
          <w:rFonts w:eastAsia="仿宋_GB2312"/>
          <w:color w:val="000000"/>
          <w:sz w:val="32"/>
          <w:szCs w:val="32"/>
        </w:rPr>
      </w:pPr>
    </w:p>
    <w:p w:rsidR="004067A3" w:rsidRDefault="004067A3" w:rsidP="004871DF">
      <w:pPr>
        <w:overflowPunct w:val="0"/>
        <w:spacing w:line="500" w:lineRule="exact"/>
        <w:rPr>
          <w:rFonts w:eastAsia="仿宋_GB2312"/>
          <w:color w:val="000000"/>
          <w:sz w:val="32"/>
          <w:szCs w:val="32"/>
        </w:rPr>
      </w:pPr>
    </w:p>
    <w:p w:rsidR="004067A3" w:rsidRDefault="004067A3" w:rsidP="004871DF">
      <w:pPr>
        <w:overflowPunct w:val="0"/>
        <w:spacing w:line="500" w:lineRule="exact"/>
        <w:rPr>
          <w:rFonts w:eastAsia="仿宋_GB2312"/>
          <w:color w:val="000000"/>
          <w:sz w:val="32"/>
          <w:szCs w:val="32"/>
        </w:rPr>
      </w:pPr>
    </w:p>
    <w:p w:rsidR="004067A3" w:rsidRDefault="004067A3" w:rsidP="004871DF">
      <w:pPr>
        <w:overflowPunct w:val="0"/>
        <w:spacing w:line="500" w:lineRule="exact"/>
        <w:rPr>
          <w:rFonts w:eastAsia="仿宋_GB2312"/>
          <w:color w:val="000000"/>
          <w:sz w:val="32"/>
          <w:szCs w:val="32"/>
        </w:rPr>
      </w:pPr>
    </w:p>
    <w:p w:rsidR="004067A3" w:rsidRDefault="004067A3" w:rsidP="004871DF">
      <w:pPr>
        <w:overflowPunct w:val="0"/>
        <w:spacing w:line="500" w:lineRule="exact"/>
        <w:rPr>
          <w:rFonts w:eastAsia="仿宋_GB2312"/>
          <w:color w:val="000000"/>
          <w:sz w:val="32"/>
          <w:szCs w:val="32"/>
        </w:rPr>
      </w:pPr>
    </w:p>
    <w:p w:rsidR="004067A3" w:rsidRDefault="004067A3" w:rsidP="004871DF">
      <w:pPr>
        <w:overflowPunct w:val="0"/>
        <w:spacing w:line="500" w:lineRule="exact"/>
        <w:rPr>
          <w:rFonts w:eastAsia="仿宋_GB2312"/>
          <w:color w:val="000000"/>
          <w:sz w:val="32"/>
          <w:szCs w:val="32"/>
        </w:rPr>
      </w:pPr>
    </w:p>
    <w:p w:rsidR="004067A3" w:rsidRDefault="004067A3" w:rsidP="004871DF">
      <w:pPr>
        <w:overflowPunct w:val="0"/>
        <w:spacing w:line="500" w:lineRule="exact"/>
        <w:rPr>
          <w:rFonts w:eastAsia="仿宋_GB2312"/>
          <w:color w:val="000000"/>
          <w:sz w:val="32"/>
          <w:szCs w:val="32"/>
        </w:rPr>
      </w:pPr>
    </w:p>
    <w:p w:rsidR="004067A3" w:rsidRDefault="004067A3" w:rsidP="004871DF">
      <w:pPr>
        <w:overflowPunct w:val="0"/>
        <w:spacing w:line="500" w:lineRule="exact"/>
        <w:rPr>
          <w:rFonts w:eastAsia="仿宋_GB2312"/>
          <w:color w:val="000000"/>
          <w:sz w:val="32"/>
          <w:szCs w:val="32"/>
        </w:rPr>
      </w:pPr>
    </w:p>
    <w:p w:rsidR="004067A3" w:rsidRDefault="004067A3" w:rsidP="004871DF">
      <w:pPr>
        <w:overflowPunct w:val="0"/>
        <w:spacing w:line="500" w:lineRule="exact"/>
        <w:rPr>
          <w:rFonts w:eastAsia="仿宋_GB2312"/>
          <w:color w:val="000000"/>
          <w:sz w:val="32"/>
          <w:szCs w:val="32"/>
        </w:rPr>
      </w:pPr>
    </w:p>
    <w:p w:rsidR="004067A3" w:rsidRDefault="004067A3" w:rsidP="004871DF">
      <w:pPr>
        <w:overflowPunct w:val="0"/>
        <w:spacing w:line="500" w:lineRule="exact"/>
        <w:rPr>
          <w:rFonts w:eastAsia="仿宋_GB2312"/>
          <w:color w:val="000000"/>
          <w:sz w:val="32"/>
          <w:szCs w:val="32"/>
        </w:rPr>
      </w:pPr>
    </w:p>
    <w:p w:rsidR="004067A3" w:rsidRDefault="004067A3" w:rsidP="004871DF">
      <w:pPr>
        <w:overflowPunct w:val="0"/>
        <w:spacing w:line="500" w:lineRule="exact"/>
        <w:rPr>
          <w:rFonts w:eastAsia="仿宋_GB2312"/>
          <w:color w:val="000000"/>
          <w:sz w:val="32"/>
          <w:szCs w:val="32"/>
        </w:rPr>
      </w:pPr>
    </w:p>
    <w:p w:rsidR="004067A3" w:rsidRDefault="004067A3" w:rsidP="004871DF">
      <w:pPr>
        <w:overflowPunct w:val="0"/>
        <w:spacing w:line="500" w:lineRule="exact"/>
        <w:rPr>
          <w:rFonts w:eastAsia="仿宋_GB2312"/>
          <w:color w:val="000000"/>
          <w:sz w:val="32"/>
          <w:szCs w:val="32"/>
        </w:rPr>
      </w:pPr>
    </w:p>
    <w:p w:rsidR="004067A3" w:rsidRDefault="004067A3" w:rsidP="004871DF">
      <w:pPr>
        <w:overflowPunct w:val="0"/>
        <w:spacing w:line="500" w:lineRule="exact"/>
        <w:rPr>
          <w:rFonts w:eastAsia="仿宋_GB2312"/>
          <w:color w:val="000000"/>
          <w:sz w:val="32"/>
          <w:szCs w:val="32"/>
        </w:rPr>
      </w:pPr>
    </w:p>
    <w:p w:rsidR="004067A3" w:rsidRDefault="004067A3" w:rsidP="004871DF">
      <w:pPr>
        <w:overflowPunct w:val="0"/>
        <w:spacing w:line="500" w:lineRule="exact"/>
        <w:rPr>
          <w:rFonts w:eastAsia="仿宋_GB2312"/>
          <w:color w:val="000000"/>
          <w:sz w:val="32"/>
          <w:szCs w:val="32"/>
        </w:rPr>
      </w:pPr>
    </w:p>
    <w:p w:rsidR="004067A3" w:rsidRDefault="004067A3" w:rsidP="004871DF">
      <w:pPr>
        <w:overflowPunct w:val="0"/>
        <w:spacing w:line="500" w:lineRule="exact"/>
        <w:rPr>
          <w:rFonts w:eastAsia="仿宋_GB2312"/>
          <w:color w:val="000000"/>
          <w:sz w:val="32"/>
          <w:szCs w:val="32"/>
        </w:rPr>
      </w:pPr>
    </w:p>
    <w:p w:rsidR="004067A3" w:rsidRDefault="004067A3" w:rsidP="004871DF">
      <w:pPr>
        <w:overflowPunct w:val="0"/>
        <w:spacing w:line="500" w:lineRule="exact"/>
        <w:rPr>
          <w:rFonts w:eastAsia="仿宋_GB2312"/>
          <w:color w:val="000000"/>
          <w:sz w:val="32"/>
          <w:szCs w:val="32"/>
        </w:rPr>
      </w:pPr>
    </w:p>
    <w:p w:rsidR="004067A3" w:rsidRDefault="004067A3" w:rsidP="004871DF">
      <w:pPr>
        <w:overflowPunct w:val="0"/>
        <w:spacing w:line="500" w:lineRule="exact"/>
        <w:rPr>
          <w:rFonts w:eastAsia="仿宋_GB2312"/>
          <w:color w:val="000000"/>
          <w:sz w:val="32"/>
          <w:szCs w:val="32"/>
        </w:rPr>
      </w:pPr>
    </w:p>
    <w:p w:rsidR="00CC15CF" w:rsidRPr="00EF7267" w:rsidRDefault="00CC15CF" w:rsidP="004871DF">
      <w:pPr>
        <w:overflowPunct w:val="0"/>
        <w:spacing w:line="500" w:lineRule="exact"/>
        <w:rPr>
          <w:rFonts w:eastAsia="仿宋_GB2312"/>
          <w:color w:val="000000"/>
          <w:sz w:val="32"/>
          <w:szCs w:val="32"/>
        </w:rPr>
      </w:pPr>
    </w:p>
    <w:sectPr w:rsidR="00CC15CF" w:rsidRPr="00EF7267" w:rsidSect="0060713A">
      <w:headerReference w:type="even" r:id="rId16"/>
      <w:headerReference w:type="default" r:id="rId17"/>
      <w:footerReference w:type="even" r:id="rId18"/>
      <w:footerReference w:type="default" r:id="rId19"/>
      <w:pgSz w:w="11906" w:h="16838"/>
      <w:pgMar w:top="1701" w:right="1588" w:bottom="1701" w:left="1588" w:header="851" w:footer="1191" w:gutter="0"/>
      <w:pgNumType w:start="1" w:chapStyle="1" w:chapSep="em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F4F" w:rsidRDefault="00F91F4F" w:rsidP="003079E8">
      <w:r>
        <w:separator/>
      </w:r>
    </w:p>
  </w:endnote>
  <w:endnote w:type="continuationSeparator" w:id="0">
    <w:p w:rsidR="00F91F4F" w:rsidRDefault="00F91F4F" w:rsidP="0030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dobe 仿宋 Std R">
    <w:altName w:val="仿宋"/>
    <w:charset w:val="86"/>
    <w:family w:val="roman"/>
    <w:pitch w:val="default"/>
    <w:sig w:usb0="00000001" w:usb1="0A0F1810" w:usb2="00000016" w:usb3="00000000" w:csb0="00060007"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88F" w:rsidRPr="00B61E5F" w:rsidRDefault="00AC0260" w:rsidP="00B61E5F">
    <w:pPr>
      <w:pStyle w:val="a5"/>
      <w:numPr>
        <w:ilvl w:val="0"/>
        <w:numId w:val="16"/>
      </w:numPr>
      <w:rPr>
        <w:rFonts w:ascii="Times New Roman" w:hAnsi="Times New Roman" w:cs="Times New Roman"/>
        <w:sz w:val="28"/>
        <w:szCs w:val="28"/>
      </w:rPr>
    </w:pPr>
    <w:sdt>
      <w:sdtPr>
        <w:id w:val="237143137"/>
        <w:docPartObj>
          <w:docPartGallery w:val="Page Numbers (Bottom of Page)"/>
          <w:docPartUnique/>
        </w:docPartObj>
      </w:sdtPr>
      <w:sdtEndPr>
        <w:rPr>
          <w:rFonts w:ascii="Times New Roman" w:hAnsi="Times New Roman" w:cs="Times New Roman"/>
          <w:sz w:val="28"/>
          <w:szCs w:val="28"/>
        </w:rPr>
      </w:sdtEndPr>
      <w:sdtContent>
        <w:r w:rsidR="001A4F78" w:rsidRPr="001A4F78">
          <w:rPr>
            <w:rFonts w:ascii="Times New Roman" w:hAnsi="Times New Roman" w:cs="Times New Roman"/>
            <w:sz w:val="28"/>
            <w:szCs w:val="28"/>
          </w:rPr>
          <w:fldChar w:fldCharType="begin"/>
        </w:r>
        <w:r w:rsidR="001A4F78" w:rsidRPr="001A4F78">
          <w:rPr>
            <w:rFonts w:ascii="Times New Roman" w:hAnsi="Times New Roman" w:cs="Times New Roman"/>
            <w:sz w:val="28"/>
            <w:szCs w:val="28"/>
          </w:rPr>
          <w:instrText>PAGE   \* MERGEFORMAT</w:instrText>
        </w:r>
        <w:r w:rsidR="001A4F78" w:rsidRPr="001A4F78">
          <w:rPr>
            <w:rFonts w:ascii="Times New Roman" w:hAnsi="Times New Roman" w:cs="Times New Roman"/>
            <w:sz w:val="28"/>
            <w:szCs w:val="28"/>
          </w:rPr>
          <w:fldChar w:fldCharType="separate"/>
        </w:r>
        <w:r w:rsidR="00FD1A18" w:rsidRPr="00FD1A18">
          <w:rPr>
            <w:rFonts w:ascii="Times New Roman" w:hAnsi="Times New Roman" w:cs="Times New Roman"/>
            <w:noProof/>
            <w:sz w:val="28"/>
            <w:szCs w:val="28"/>
            <w:lang w:val="zh-CN"/>
          </w:rPr>
          <w:t>18</w:t>
        </w:r>
        <w:r w:rsidR="001A4F78" w:rsidRPr="001A4F78">
          <w:rPr>
            <w:rFonts w:ascii="Times New Roman" w:hAnsi="Times New Roman" w:cs="Times New Roman"/>
            <w:sz w:val="28"/>
            <w:szCs w:val="28"/>
          </w:rPr>
          <w:fldChar w:fldCharType="end"/>
        </w:r>
        <w:r w:rsidR="001A4F78" w:rsidRPr="001A4F78">
          <w:rPr>
            <w:rFonts w:ascii="Times New Roman" w:hAnsi="Times New Roman" w:cs="Times New Roman"/>
            <w:sz w:val="28"/>
            <w:szCs w:val="28"/>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54091"/>
      <w:docPartObj>
        <w:docPartGallery w:val="Page Numbers (Bottom of Page)"/>
        <w:docPartUnique/>
      </w:docPartObj>
    </w:sdtPr>
    <w:sdtEndPr>
      <w:rPr>
        <w:rFonts w:ascii="Times New Roman" w:hAnsi="Times New Roman" w:cs="Times New Roman"/>
        <w:sz w:val="28"/>
        <w:szCs w:val="28"/>
      </w:rPr>
    </w:sdtEndPr>
    <w:sdtContent>
      <w:p w:rsidR="0078788F" w:rsidRPr="00B61E5F" w:rsidRDefault="001A4F78" w:rsidP="00B61E5F">
        <w:pPr>
          <w:pStyle w:val="a5"/>
          <w:numPr>
            <w:ilvl w:val="0"/>
            <w:numId w:val="19"/>
          </w:numPr>
          <w:jc w:val="right"/>
          <w:rPr>
            <w:rFonts w:ascii="Times New Roman" w:hAnsi="Times New Roman" w:cs="Times New Roman"/>
            <w:sz w:val="28"/>
            <w:szCs w:val="28"/>
          </w:rPr>
        </w:pPr>
        <w:r w:rsidRPr="001A4F78">
          <w:rPr>
            <w:rFonts w:ascii="Times New Roman" w:hAnsi="Times New Roman" w:cs="Times New Roman"/>
            <w:sz w:val="28"/>
            <w:szCs w:val="28"/>
          </w:rPr>
          <w:fldChar w:fldCharType="begin"/>
        </w:r>
        <w:r w:rsidRPr="001A4F78">
          <w:rPr>
            <w:rFonts w:ascii="Times New Roman" w:hAnsi="Times New Roman" w:cs="Times New Roman"/>
            <w:sz w:val="28"/>
            <w:szCs w:val="28"/>
          </w:rPr>
          <w:instrText>PAGE   \* MERGEFORMAT</w:instrText>
        </w:r>
        <w:r w:rsidRPr="001A4F78">
          <w:rPr>
            <w:rFonts w:ascii="Times New Roman" w:hAnsi="Times New Roman" w:cs="Times New Roman"/>
            <w:sz w:val="28"/>
            <w:szCs w:val="28"/>
          </w:rPr>
          <w:fldChar w:fldCharType="separate"/>
        </w:r>
        <w:r w:rsidR="00FD1A18" w:rsidRPr="00FD1A18">
          <w:rPr>
            <w:rFonts w:ascii="Times New Roman" w:hAnsi="Times New Roman" w:cs="Times New Roman"/>
            <w:noProof/>
            <w:sz w:val="28"/>
            <w:szCs w:val="28"/>
            <w:lang w:val="zh-CN"/>
          </w:rPr>
          <w:t>17</w:t>
        </w:r>
        <w:r w:rsidRPr="001A4F78">
          <w:rPr>
            <w:rFonts w:ascii="Times New Roman" w:hAnsi="Times New Roman" w:cs="Times New Roman"/>
            <w:sz w:val="28"/>
            <w:szCs w:val="28"/>
          </w:rPr>
          <w:fldChar w:fldCharType="end"/>
        </w:r>
        <w:r w:rsidRPr="001A4F78">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F4F" w:rsidRDefault="00F91F4F" w:rsidP="003079E8">
      <w:r>
        <w:separator/>
      </w:r>
    </w:p>
  </w:footnote>
  <w:footnote w:type="continuationSeparator" w:id="0">
    <w:p w:rsidR="00F91F4F" w:rsidRDefault="00F91F4F" w:rsidP="003079E8">
      <w:r>
        <w:continuationSeparator/>
      </w:r>
    </w:p>
  </w:footnote>
  <w:footnote w:id="1">
    <w:p w:rsidR="004067A3" w:rsidRDefault="004067A3" w:rsidP="004067A3">
      <w:pPr>
        <w:pStyle w:val="afd"/>
        <w:rPr>
          <w:rFonts w:eastAsia="仿宋_GB2312"/>
        </w:rPr>
      </w:pPr>
      <w:r>
        <w:rPr>
          <w:rStyle w:val="aff"/>
          <w:rFonts w:eastAsia="仿宋_GB2312"/>
        </w:rPr>
        <w:footnoteRef/>
      </w:r>
      <w:r>
        <w:rPr>
          <w:rFonts w:eastAsia="仿宋_GB2312"/>
        </w:rPr>
        <w:t xml:space="preserve"> </w:t>
      </w:r>
      <w:r>
        <w:rPr>
          <w:rFonts w:eastAsia="仿宋_GB2312"/>
        </w:rPr>
        <w:t>改自</w:t>
      </w:r>
      <w:r>
        <w:rPr>
          <w:rFonts w:eastAsia="仿宋_GB2312"/>
        </w:rPr>
        <w:t>IMDRF SaMD</w:t>
      </w:r>
      <w:r>
        <w:rPr>
          <w:rFonts w:eastAsia="仿宋_GB2312"/>
        </w:rPr>
        <w:t>工作组关于独立软件的定义。</w:t>
      </w:r>
    </w:p>
  </w:footnote>
  <w:footnote w:id="2">
    <w:p w:rsidR="004067A3" w:rsidRDefault="004067A3" w:rsidP="004067A3">
      <w:pPr>
        <w:pStyle w:val="afd"/>
      </w:pPr>
      <w:r>
        <w:rPr>
          <w:rStyle w:val="aff"/>
          <w:rFonts w:eastAsia="仿宋_GB2312"/>
        </w:rPr>
        <w:footnoteRef/>
      </w:r>
      <w:r>
        <w:rPr>
          <w:rFonts w:eastAsia="仿宋_GB2312"/>
        </w:rPr>
        <w:t xml:space="preserve"> </w:t>
      </w:r>
      <w:r>
        <w:rPr>
          <w:rFonts w:eastAsia="仿宋_GB2312"/>
        </w:rPr>
        <w:t>在计算机领域，移动计算技术和穿戴计算技术的关系尚无定论</w:t>
      </w:r>
      <w:r>
        <w:rPr>
          <w:rFonts w:eastAsia="仿宋_GB2312" w:hint="eastAsia"/>
        </w:rPr>
        <w:t>。</w:t>
      </w:r>
      <w:r>
        <w:rPr>
          <w:rFonts w:eastAsia="仿宋_GB2312"/>
        </w:rPr>
        <w:t>从监管角度</w:t>
      </w:r>
      <w:r>
        <w:rPr>
          <w:rFonts w:eastAsia="仿宋_GB2312" w:hint="eastAsia"/>
        </w:rPr>
        <w:t>出发，</w:t>
      </w:r>
      <w:r>
        <w:rPr>
          <w:rFonts w:eastAsia="仿宋_GB2312"/>
        </w:rPr>
        <w:t>本指导原则所述移动计算技术包括穿戴计算技术。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670" w:rsidRDefault="00B52670" w:rsidP="00134ED0">
    <w:pPr>
      <w:pStyle w:val="a3"/>
      <w:pBdr>
        <w:bottom w:val="none" w:sz="0" w:space="0" w:color="auto"/>
      </w:pBdr>
    </w:pPr>
  </w:p>
  <w:p w:rsidR="0078788F" w:rsidRDefault="0078788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670" w:rsidRPr="00D96564" w:rsidRDefault="00B52670" w:rsidP="00134ED0">
    <w:pPr>
      <w:pStyle w:val="a3"/>
      <w:pBdr>
        <w:bottom w:val="none" w:sz="0" w:space="0" w:color="auto"/>
      </w:pBdr>
      <w:rPr>
        <w:rFonts w:ascii="Times New Roman" w:hAnsi="Times New Roman" w:cs="Times New Roman"/>
        <w:sz w:val="28"/>
        <w:szCs w:val="28"/>
      </w:rPr>
    </w:pPr>
  </w:p>
  <w:p w:rsidR="0078788F" w:rsidRDefault="0078788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47BEA"/>
    <w:multiLevelType w:val="hybridMultilevel"/>
    <w:tmpl w:val="29C6E3D6"/>
    <w:lvl w:ilvl="0" w:tplc="02F4B40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4901CF8"/>
    <w:multiLevelType w:val="multilevel"/>
    <w:tmpl w:val="14901CF8"/>
    <w:lvl w:ilvl="0">
      <w:start w:val="1"/>
      <w:numFmt w:val="decimal"/>
      <w:lvlText w:val="%1．"/>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A2A00A7"/>
    <w:multiLevelType w:val="hybridMultilevel"/>
    <w:tmpl w:val="2B4EAB08"/>
    <w:lvl w:ilvl="0" w:tplc="EAF09A8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CB7C9B"/>
    <w:multiLevelType w:val="singleLevel"/>
    <w:tmpl w:val="1ECB7C9B"/>
    <w:lvl w:ilvl="0">
      <w:start w:val="3"/>
      <w:numFmt w:val="chineseCounting"/>
      <w:suff w:val="nothing"/>
      <w:lvlText w:val="%1、"/>
      <w:lvlJc w:val="left"/>
      <w:rPr>
        <w:rFonts w:hint="eastAsia"/>
      </w:rPr>
    </w:lvl>
  </w:abstractNum>
  <w:abstractNum w:abstractNumId="4" w15:restartNumberingAfterBreak="0">
    <w:nsid w:val="20343560"/>
    <w:multiLevelType w:val="multilevel"/>
    <w:tmpl w:val="20343560"/>
    <w:lvl w:ilvl="0">
      <w:start w:val="1"/>
      <w:numFmt w:val="bullet"/>
      <w:lvlText w:val=""/>
      <w:lvlJc w:val="left"/>
      <w:pPr>
        <w:ind w:left="1260" w:hanging="420"/>
      </w:pPr>
      <w:rPr>
        <w:rFonts w:ascii="Wingdings 2" w:eastAsia="方正小标宋简体" w:hAnsi="Wingdings 2" w:hint="default"/>
        <w:color w:val="000000"/>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5" w15:restartNumberingAfterBreak="0">
    <w:nsid w:val="257E1BB0"/>
    <w:multiLevelType w:val="multilevel"/>
    <w:tmpl w:val="257E1BB0"/>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15:restartNumberingAfterBreak="0">
    <w:nsid w:val="2AAC3D6E"/>
    <w:multiLevelType w:val="hybridMultilevel"/>
    <w:tmpl w:val="13F4DE32"/>
    <w:lvl w:ilvl="0" w:tplc="BE5A2AFA">
      <w:numFmt w:val="bullet"/>
      <w:lvlText w:val="—"/>
      <w:lvlJc w:val="left"/>
      <w:pPr>
        <w:ind w:left="360" w:hanging="360"/>
      </w:pPr>
      <w:rPr>
        <w:rFonts w:ascii="Times New Roman" w:eastAsia="等线" w:hAnsi="Times New Roman" w:cs="Times New Roman"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13E5064"/>
    <w:multiLevelType w:val="hybridMultilevel"/>
    <w:tmpl w:val="FE6E7C9E"/>
    <w:lvl w:ilvl="0" w:tplc="17FA2D84">
      <w:start w:val="8"/>
      <w:numFmt w:val="bullet"/>
      <w:lvlText w:val="—"/>
      <w:lvlJc w:val="left"/>
      <w:pPr>
        <w:ind w:left="360" w:hanging="360"/>
      </w:pPr>
      <w:rPr>
        <w:rFonts w:ascii="Times New Roman" w:eastAsia="等线"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5CC1BE4"/>
    <w:multiLevelType w:val="multilevel"/>
    <w:tmpl w:val="35CC1BE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46336573"/>
    <w:multiLevelType w:val="hybridMultilevel"/>
    <w:tmpl w:val="9E604E68"/>
    <w:lvl w:ilvl="0" w:tplc="FE84C412">
      <w:numFmt w:val="bullet"/>
      <w:lvlText w:val="—"/>
      <w:lvlJc w:val="left"/>
      <w:pPr>
        <w:ind w:left="360" w:hanging="360"/>
      </w:pPr>
      <w:rPr>
        <w:rFonts w:ascii="宋体" w:eastAsia="宋体" w:hAnsi="宋体" w:cs="Times New Roman" w:hint="eastAsia"/>
        <w:color w:val="FFFFFF"/>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96C00AF"/>
    <w:multiLevelType w:val="multilevel"/>
    <w:tmpl w:val="496C00AF"/>
    <w:lvl w:ilvl="0">
      <w:start w:val="1"/>
      <w:numFmt w:val="decimal"/>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1" w15:restartNumberingAfterBreak="0">
    <w:nsid w:val="51240AD4"/>
    <w:multiLevelType w:val="hybridMultilevel"/>
    <w:tmpl w:val="8B3E3080"/>
    <w:lvl w:ilvl="0" w:tplc="1BA8612E">
      <w:start w:val="1"/>
      <w:numFmt w:val="decimal"/>
      <w:lvlText w:val="%1."/>
      <w:lvlJc w:val="left"/>
      <w:pPr>
        <w:ind w:left="1000" w:hanging="360"/>
      </w:pPr>
      <w:rPr>
        <w:rFonts w:ascii="Times New Roman" w:hAnsi="Times New Roman" w:hint="default"/>
        <w:color w:val="auto"/>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15:restartNumberingAfterBreak="0">
    <w:nsid w:val="530EF510"/>
    <w:multiLevelType w:val="singleLevel"/>
    <w:tmpl w:val="530EF510"/>
    <w:lvl w:ilvl="0">
      <w:start w:val="2"/>
      <w:numFmt w:val="decimal"/>
      <w:suff w:val="nothing"/>
      <w:lvlText w:val="%1."/>
      <w:lvlJc w:val="left"/>
    </w:lvl>
  </w:abstractNum>
  <w:abstractNum w:abstractNumId="13" w15:restartNumberingAfterBreak="0">
    <w:nsid w:val="531833DE"/>
    <w:multiLevelType w:val="singleLevel"/>
    <w:tmpl w:val="531833DE"/>
    <w:lvl w:ilvl="0">
      <w:start w:val="7"/>
      <w:numFmt w:val="decimal"/>
      <w:suff w:val="nothing"/>
      <w:lvlText w:val="%1."/>
      <w:lvlJc w:val="left"/>
    </w:lvl>
  </w:abstractNum>
  <w:abstractNum w:abstractNumId="14" w15:restartNumberingAfterBreak="0">
    <w:nsid w:val="5ADA3302"/>
    <w:multiLevelType w:val="hybridMultilevel"/>
    <w:tmpl w:val="2DF44F5E"/>
    <w:lvl w:ilvl="0" w:tplc="5F06C8C6">
      <w:numFmt w:val="bullet"/>
      <w:lvlText w:val="—"/>
      <w:lvlJc w:val="left"/>
      <w:pPr>
        <w:ind w:left="360" w:hanging="360"/>
      </w:pPr>
      <w:rPr>
        <w:rFonts w:ascii="Times New Roman" w:eastAsia="等线" w:hAnsi="Times New Roman" w:cs="Times New Roman"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11E5EAE"/>
    <w:multiLevelType w:val="multilevel"/>
    <w:tmpl w:val="711E5EAE"/>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6" w15:restartNumberingAfterBreak="0">
    <w:nsid w:val="7F662D84"/>
    <w:multiLevelType w:val="singleLevel"/>
    <w:tmpl w:val="7F662D84"/>
    <w:lvl w:ilvl="0">
      <w:start w:val="10"/>
      <w:numFmt w:val="decimal"/>
      <w:lvlText w:val="%1."/>
      <w:lvlJc w:val="left"/>
      <w:pPr>
        <w:tabs>
          <w:tab w:val="left" w:pos="312"/>
        </w:tabs>
      </w:pPr>
    </w:lvl>
  </w:abstractNum>
  <w:abstractNum w:abstractNumId="17" w15:restartNumberingAfterBreak="0">
    <w:nsid w:val="7F8C7A35"/>
    <w:multiLevelType w:val="multilevel"/>
    <w:tmpl w:val="7F8C7A35"/>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7"/>
  </w:num>
  <w:num w:numId="2">
    <w:abstractNumId w:val="15"/>
  </w:num>
  <w:num w:numId="3">
    <w:abstractNumId w:val="3"/>
  </w:num>
  <w:num w:numId="4">
    <w:abstractNumId w:val="16"/>
  </w:num>
  <w:num w:numId="5">
    <w:abstractNumId w:val="13"/>
  </w:num>
  <w:num w:numId="6">
    <w:abstractNumId w:val="12"/>
  </w:num>
  <w:num w:numId="7">
    <w:abstractNumId w:val="5"/>
  </w:num>
  <w:num w:numId="8">
    <w:abstractNumId w:val="14"/>
  </w:num>
  <w:num w:numId="9">
    <w:abstractNumId w:val="6"/>
  </w:num>
  <w:num w:numId="10">
    <w:abstractNumId w:val="8"/>
  </w:num>
  <w:num w:numId="11">
    <w:abstractNumId w:val="4"/>
  </w:num>
  <w:num w:numId="12">
    <w:abstractNumId w:val="0"/>
  </w:num>
  <w:num w:numId="13">
    <w:abstractNumId w:val="11"/>
  </w:num>
  <w:num w:numId="14">
    <w:abstractNumId w:val="9"/>
  </w:num>
  <w:num w:numId="15">
    <w:abstractNumId w:val="10"/>
  </w:num>
  <w:num w:numId="16">
    <w:abstractNumId w:val="2"/>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123"/>
    <w:rsid w:val="00002AAD"/>
    <w:rsid w:val="000146D7"/>
    <w:rsid w:val="000329DA"/>
    <w:rsid w:val="000A63C1"/>
    <w:rsid w:val="000B0CCB"/>
    <w:rsid w:val="000D32E0"/>
    <w:rsid w:val="000D4E34"/>
    <w:rsid w:val="00106A9D"/>
    <w:rsid w:val="00114E64"/>
    <w:rsid w:val="00122FBD"/>
    <w:rsid w:val="00134ED0"/>
    <w:rsid w:val="00137012"/>
    <w:rsid w:val="00141273"/>
    <w:rsid w:val="00150E66"/>
    <w:rsid w:val="00151932"/>
    <w:rsid w:val="00184973"/>
    <w:rsid w:val="00191F7A"/>
    <w:rsid w:val="001A146B"/>
    <w:rsid w:val="001A4F78"/>
    <w:rsid w:val="001A70F6"/>
    <w:rsid w:val="001B78C4"/>
    <w:rsid w:val="001C140B"/>
    <w:rsid w:val="001C4F2E"/>
    <w:rsid w:val="001D11D9"/>
    <w:rsid w:val="001D1A12"/>
    <w:rsid w:val="001F0DF0"/>
    <w:rsid w:val="001F1046"/>
    <w:rsid w:val="00201F93"/>
    <w:rsid w:val="002062EA"/>
    <w:rsid w:val="00217E23"/>
    <w:rsid w:val="00217F03"/>
    <w:rsid w:val="00222BB7"/>
    <w:rsid w:val="002236A4"/>
    <w:rsid w:val="00244D02"/>
    <w:rsid w:val="00252B40"/>
    <w:rsid w:val="002548F3"/>
    <w:rsid w:val="00281121"/>
    <w:rsid w:val="00294F3C"/>
    <w:rsid w:val="00295409"/>
    <w:rsid w:val="00295F3E"/>
    <w:rsid w:val="002B2CA7"/>
    <w:rsid w:val="002D5575"/>
    <w:rsid w:val="002F062A"/>
    <w:rsid w:val="002F557C"/>
    <w:rsid w:val="003079E8"/>
    <w:rsid w:val="003100D4"/>
    <w:rsid w:val="003438E9"/>
    <w:rsid w:val="0035732D"/>
    <w:rsid w:val="0036717C"/>
    <w:rsid w:val="003832CA"/>
    <w:rsid w:val="00386FA0"/>
    <w:rsid w:val="00390CE2"/>
    <w:rsid w:val="00393EFB"/>
    <w:rsid w:val="003953C8"/>
    <w:rsid w:val="003B7510"/>
    <w:rsid w:val="003F0E18"/>
    <w:rsid w:val="004067A3"/>
    <w:rsid w:val="00412EF1"/>
    <w:rsid w:val="004150EE"/>
    <w:rsid w:val="0041585F"/>
    <w:rsid w:val="00417976"/>
    <w:rsid w:val="004214A4"/>
    <w:rsid w:val="004246F2"/>
    <w:rsid w:val="00436D1B"/>
    <w:rsid w:val="004627AE"/>
    <w:rsid w:val="00482972"/>
    <w:rsid w:val="00483ECD"/>
    <w:rsid w:val="004871DF"/>
    <w:rsid w:val="00490054"/>
    <w:rsid w:val="00494D22"/>
    <w:rsid w:val="004A31E1"/>
    <w:rsid w:val="004A429D"/>
    <w:rsid w:val="004B1017"/>
    <w:rsid w:val="004F2884"/>
    <w:rsid w:val="004F486F"/>
    <w:rsid w:val="005040E6"/>
    <w:rsid w:val="00510DB3"/>
    <w:rsid w:val="00573FF6"/>
    <w:rsid w:val="00580051"/>
    <w:rsid w:val="005C6177"/>
    <w:rsid w:val="005D5360"/>
    <w:rsid w:val="005D5874"/>
    <w:rsid w:val="005D71E7"/>
    <w:rsid w:val="0060513F"/>
    <w:rsid w:val="0060713A"/>
    <w:rsid w:val="00615B40"/>
    <w:rsid w:val="0061625D"/>
    <w:rsid w:val="00616661"/>
    <w:rsid w:val="00617194"/>
    <w:rsid w:val="00626ED7"/>
    <w:rsid w:val="0063084F"/>
    <w:rsid w:val="00631AA9"/>
    <w:rsid w:val="00635BFE"/>
    <w:rsid w:val="006376F5"/>
    <w:rsid w:val="00640B84"/>
    <w:rsid w:val="00641D70"/>
    <w:rsid w:val="006515C5"/>
    <w:rsid w:val="00651DCB"/>
    <w:rsid w:val="00664817"/>
    <w:rsid w:val="0066775D"/>
    <w:rsid w:val="00673C2E"/>
    <w:rsid w:val="00690E61"/>
    <w:rsid w:val="006C0F4B"/>
    <w:rsid w:val="006E697B"/>
    <w:rsid w:val="00704498"/>
    <w:rsid w:val="00710650"/>
    <w:rsid w:val="007459D2"/>
    <w:rsid w:val="00745B62"/>
    <w:rsid w:val="0078788F"/>
    <w:rsid w:val="0079267F"/>
    <w:rsid w:val="007A5573"/>
    <w:rsid w:val="007A7B0C"/>
    <w:rsid w:val="007B226A"/>
    <w:rsid w:val="00807022"/>
    <w:rsid w:val="00814D41"/>
    <w:rsid w:val="00821123"/>
    <w:rsid w:val="00822C68"/>
    <w:rsid w:val="00827ED2"/>
    <w:rsid w:val="00831214"/>
    <w:rsid w:val="00844620"/>
    <w:rsid w:val="00857E8D"/>
    <w:rsid w:val="00860D78"/>
    <w:rsid w:val="00866BF0"/>
    <w:rsid w:val="00875AE8"/>
    <w:rsid w:val="00894CA1"/>
    <w:rsid w:val="008A4C52"/>
    <w:rsid w:val="008A50D5"/>
    <w:rsid w:val="008A7314"/>
    <w:rsid w:val="008C7889"/>
    <w:rsid w:val="008D589E"/>
    <w:rsid w:val="008E64B6"/>
    <w:rsid w:val="00962F71"/>
    <w:rsid w:val="0099578F"/>
    <w:rsid w:val="009C0679"/>
    <w:rsid w:val="009C7F29"/>
    <w:rsid w:val="009D2C2D"/>
    <w:rsid w:val="009D751B"/>
    <w:rsid w:val="009E0C86"/>
    <w:rsid w:val="009F1292"/>
    <w:rsid w:val="009F46C1"/>
    <w:rsid w:val="00A16C43"/>
    <w:rsid w:val="00A21DA8"/>
    <w:rsid w:val="00A346B7"/>
    <w:rsid w:val="00A650B1"/>
    <w:rsid w:val="00A81F0C"/>
    <w:rsid w:val="00AA7E86"/>
    <w:rsid w:val="00AF37DC"/>
    <w:rsid w:val="00B2671F"/>
    <w:rsid w:val="00B2724F"/>
    <w:rsid w:val="00B27B9C"/>
    <w:rsid w:val="00B35B77"/>
    <w:rsid w:val="00B52670"/>
    <w:rsid w:val="00B539BD"/>
    <w:rsid w:val="00B61E5F"/>
    <w:rsid w:val="00B7255B"/>
    <w:rsid w:val="00BB26D7"/>
    <w:rsid w:val="00BD3433"/>
    <w:rsid w:val="00BD5BB8"/>
    <w:rsid w:val="00BE6AAA"/>
    <w:rsid w:val="00BF33A6"/>
    <w:rsid w:val="00C10FD2"/>
    <w:rsid w:val="00C25443"/>
    <w:rsid w:val="00C421D8"/>
    <w:rsid w:val="00C77C14"/>
    <w:rsid w:val="00CA15D0"/>
    <w:rsid w:val="00CB40F3"/>
    <w:rsid w:val="00CC15CF"/>
    <w:rsid w:val="00CC7810"/>
    <w:rsid w:val="00CD7359"/>
    <w:rsid w:val="00CE7716"/>
    <w:rsid w:val="00CF3E07"/>
    <w:rsid w:val="00D0654B"/>
    <w:rsid w:val="00D2114A"/>
    <w:rsid w:val="00D22218"/>
    <w:rsid w:val="00D31360"/>
    <w:rsid w:val="00D57B53"/>
    <w:rsid w:val="00D9244F"/>
    <w:rsid w:val="00D941BF"/>
    <w:rsid w:val="00D96564"/>
    <w:rsid w:val="00DA3197"/>
    <w:rsid w:val="00DB285C"/>
    <w:rsid w:val="00DB63E0"/>
    <w:rsid w:val="00DC2A13"/>
    <w:rsid w:val="00DC7BC9"/>
    <w:rsid w:val="00DE4529"/>
    <w:rsid w:val="00DF1104"/>
    <w:rsid w:val="00DF487B"/>
    <w:rsid w:val="00DF6A15"/>
    <w:rsid w:val="00E1589F"/>
    <w:rsid w:val="00E2148D"/>
    <w:rsid w:val="00E42413"/>
    <w:rsid w:val="00E84CB3"/>
    <w:rsid w:val="00E917E5"/>
    <w:rsid w:val="00EC5105"/>
    <w:rsid w:val="00ED1836"/>
    <w:rsid w:val="00EF7267"/>
    <w:rsid w:val="00F017EC"/>
    <w:rsid w:val="00F1084F"/>
    <w:rsid w:val="00F31C51"/>
    <w:rsid w:val="00F32980"/>
    <w:rsid w:val="00F44E8C"/>
    <w:rsid w:val="00F82827"/>
    <w:rsid w:val="00F83687"/>
    <w:rsid w:val="00F83D79"/>
    <w:rsid w:val="00F91F4F"/>
    <w:rsid w:val="00FA53B8"/>
    <w:rsid w:val="00FA576D"/>
    <w:rsid w:val="00FD1A18"/>
    <w:rsid w:val="00FD6BDF"/>
    <w:rsid w:val="00FE498C"/>
    <w:rsid w:val="00FE4E41"/>
    <w:rsid w:val="00FF31AA"/>
    <w:rsid w:val="00FF6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B6175A"/>
  <w15:chartTrackingRefBased/>
  <w15:docId w15:val="{CE99FC34-19A3-4001-AFFF-AB8E6C53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9E8"/>
    <w:pPr>
      <w:widowControl w:val="0"/>
      <w:jc w:val="both"/>
    </w:pPr>
    <w:rPr>
      <w:rFonts w:ascii="Times New Roman" w:eastAsia="宋体" w:hAnsi="Times New Roman" w:cs="Times New Roman"/>
      <w:szCs w:val="24"/>
    </w:rPr>
  </w:style>
  <w:style w:type="paragraph" w:styleId="1">
    <w:name w:val="heading 1"/>
    <w:basedOn w:val="a"/>
    <w:next w:val="a"/>
    <w:link w:val="10"/>
    <w:autoRedefine/>
    <w:qFormat/>
    <w:rsid w:val="002F557C"/>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0"/>
    <w:unhideWhenUsed/>
    <w:qFormat/>
    <w:rsid w:val="002F557C"/>
    <w:pPr>
      <w:keepNext/>
      <w:keepLines/>
      <w:spacing w:line="360" w:lineRule="auto"/>
      <w:ind w:firstLineChars="200" w:firstLine="200"/>
      <w:outlineLvl w:val="1"/>
    </w:pPr>
    <w:rPr>
      <w:rFonts w:asciiTheme="majorHAnsi" w:eastAsia="黑体" w:hAnsiTheme="majorHAnsi" w:cstheme="majorBidi"/>
      <w:bCs/>
      <w:sz w:val="32"/>
      <w:szCs w:val="32"/>
    </w:rPr>
  </w:style>
  <w:style w:type="paragraph" w:styleId="3">
    <w:name w:val="heading 3"/>
    <w:basedOn w:val="a"/>
    <w:next w:val="a"/>
    <w:link w:val="30"/>
    <w:qFormat/>
    <w:rsid w:val="00D2114A"/>
    <w:pPr>
      <w:keepNext/>
      <w:keepLines/>
      <w:spacing w:before="260" w:after="260" w:line="416" w:lineRule="auto"/>
      <w:outlineLvl w:val="2"/>
    </w:pPr>
    <w:rPr>
      <w:b/>
      <w:bCs/>
      <w:sz w:val="32"/>
      <w:szCs w:val="32"/>
    </w:rPr>
  </w:style>
  <w:style w:type="paragraph" w:styleId="4">
    <w:name w:val="heading 4"/>
    <w:basedOn w:val="a"/>
    <w:next w:val="a"/>
    <w:link w:val="40"/>
    <w:qFormat/>
    <w:rsid w:val="00D2114A"/>
    <w:pPr>
      <w:keepNext/>
      <w:keepLines/>
      <w:spacing w:before="280" w:after="290" w:line="376" w:lineRule="auto"/>
      <w:outlineLvl w:val="3"/>
    </w:pPr>
    <w:rPr>
      <w:rFonts w:ascii="Calibri Light" w:hAnsi="Calibri Light"/>
      <w:b/>
      <w:bCs/>
      <w:sz w:val="28"/>
      <w:szCs w:val="28"/>
    </w:rPr>
  </w:style>
  <w:style w:type="paragraph" w:styleId="5">
    <w:name w:val="heading 5"/>
    <w:basedOn w:val="a"/>
    <w:next w:val="a"/>
    <w:link w:val="50"/>
    <w:qFormat/>
    <w:rsid w:val="00D2114A"/>
    <w:pPr>
      <w:keepNext/>
      <w:keepLines/>
      <w:spacing w:before="280" w:after="290" w:line="376" w:lineRule="auto"/>
      <w:outlineLvl w:val="4"/>
    </w:pPr>
    <w:rPr>
      <w:b/>
      <w:bCs/>
      <w:sz w:val="28"/>
      <w:szCs w:val="28"/>
    </w:rPr>
  </w:style>
  <w:style w:type="paragraph" w:styleId="6">
    <w:name w:val="heading 6"/>
    <w:basedOn w:val="a"/>
    <w:next w:val="a"/>
    <w:link w:val="60"/>
    <w:qFormat/>
    <w:rsid w:val="00D2114A"/>
    <w:pPr>
      <w:keepNext/>
      <w:keepLines/>
      <w:spacing w:before="240" w:after="64" w:line="320" w:lineRule="auto"/>
      <w:outlineLvl w:val="5"/>
    </w:pPr>
    <w:rPr>
      <w:rFonts w:ascii="Calibri Light" w:hAnsi="Calibri Light"/>
      <w:b/>
      <w:bCs/>
      <w:sz w:val="24"/>
    </w:rPr>
  </w:style>
  <w:style w:type="paragraph" w:styleId="7">
    <w:name w:val="heading 7"/>
    <w:basedOn w:val="a"/>
    <w:next w:val="a"/>
    <w:link w:val="70"/>
    <w:qFormat/>
    <w:rsid w:val="00D2114A"/>
    <w:pPr>
      <w:keepNext/>
      <w:keepLines/>
      <w:spacing w:before="240" w:after="64" w:line="320" w:lineRule="auto"/>
      <w:outlineLvl w:val="6"/>
    </w:pPr>
    <w:rPr>
      <w:b/>
      <w:bCs/>
      <w:sz w:val="24"/>
    </w:rPr>
  </w:style>
  <w:style w:type="paragraph" w:styleId="8">
    <w:name w:val="heading 8"/>
    <w:basedOn w:val="a"/>
    <w:next w:val="a"/>
    <w:link w:val="80"/>
    <w:qFormat/>
    <w:rsid w:val="00D2114A"/>
    <w:pPr>
      <w:keepNext/>
      <w:keepLines/>
      <w:spacing w:before="240" w:after="64" w:line="320" w:lineRule="auto"/>
      <w:outlineLvl w:val="7"/>
    </w:pPr>
    <w:rPr>
      <w:rFonts w:ascii="Calibri Light" w:hAnsi="Calibri Light"/>
      <w:sz w:val="24"/>
    </w:rPr>
  </w:style>
  <w:style w:type="paragraph" w:styleId="9">
    <w:name w:val="heading 9"/>
    <w:basedOn w:val="a"/>
    <w:next w:val="a"/>
    <w:link w:val="90"/>
    <w:unhideWhenUsed/>
    <w:qFormat/>
    <w:rsid w:val="00D2114A"/>
    <w:pPr>
      <w:keepNext/>
      <w:keepLines/>
      <w:spacing w:before="240" w:after="64" w:line="320" w:lineRule="auto"/>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2F557C"/>
    <w:rPr>
      <w:b/>
      <w:bCs/>
      <w:kern w:val="44"/>
      <w:sz w:val="44"/>
      <w:szCs w:val="44"/>
    </w:rPr>
  </w:style>
  <w:style w:type="character" w:customStyle="1" w:styleId="20">
    <w:name w:val="标题 2 字符"/>
    <w:basedOn w:val="a0"/>
    <w:link w:val="2"/>
    <w:qFormat/>
    <w:rsid w:val="002F557C"/>
    <w:rPr>
      <w:rFonts w:asciiTheme="majorHAnsi" w:eastAsia="黑体" w:hAnsiTheme="majorHAnsi" w:cstheme="majorBidi"/>
      <w:bCs/>
      <w:sz w:val="32"/>
      <w:szCs w:val="32"/>
    </w:rPr>
  </w:style>
  <w:style w:type="character" w:customStyle="1" w:styleId="30">
    <w:name w:val="标题 3 字符"/>
    <w:basedOn w:val="a0"/>
    <w:link w:val="3"/>
    <w:qFormat/>
    <w:rsid w:val="00D2114A"/>
    <w:rPr>
      <w:rFonts w:ascii="Times New Roman" w:eastAsia="宋体" w:hAnsi="Times New Roman" w:cs="Times New Roman"/>
      <w:b/>
      <w:bCs/>
      <w:sz w:val="32"/>
      <w:szCs w:val="32"/>
    </w:rPr>
  </w:style>
  <w:style w:type="character" w:customStyle="1" w:styleId="40">
    <w:name w:val="标题 4 字符"/>
    <w:basedOn w:val="a0"/>
    <w:link w:val="4"/>
    <w:rsid w:val="00D2114A"/>
    <w:rPr>
      <w:rFonts w:ascii="Calibri Light" w:eastAsia="宋体" w:hAnsi="Calibri Light" w:cs="Times New Roman"/>
      <w:b/>
      <w:bCs/>
      <w:sz w:val="28"/>
      <w:szCs w:val="28"/>
    </w:rPr>
  </w:style>
  <w:style w:type="character" w:customStyle="1" w:styleId="50">
    <w:name w:val="标题 5 字符"/>
    <w:basedOn w:val="a0"/>
    <w:link w:val="5"/>
    <w:rsid w:val="00D2114A"/>
    <w:rPr>
      <w:rFonts w:ascii="Times New Roman" w:eastAsia="宋体" w:hAnsi="Times New Roman" w:cs="Times New Roman"/>
      <w:b/>
      <w:bCs/>
      <w:sz w:val="28"/>
      <w:szCs w:val="28"/>
    </w:rPr>
  </w:style>
  <w:style w:type="character" w:customStyle="1" w:styleId="60">
    <w:name w:val="标题 6 字符"/>
    <w:basedOn w:val="a0"/>
    <w:link w:val="6"/>
    <w:qFormat/>
    <w:rsid w:val="00D2114A"/>
    <w:rPr>
      <w:rFonts w:ascii="Calibri Light" w:eastAsia="宋体" w:hAnsi="Calibri Light" w:cs="Times New Roman"/>
      <w:b/>
      <w:bCs/>
      <w:sz w:val="24"/>
      <w:szCs w:val="24"/>
    </w:rPr>
  </w:style>
  <w:style w:type="character" w:customStyle="1" w:styleId="70">
    <w:name w:val="标题 7 字符"/>
    <w:basedOn w:val="a0"/>
    <w:link w:val="7"/>
    <w:qFormat/>
    <w:rsid w:val="00D2114A"/>
    <w:rPr>
      <w:rFonts w:ascii="Times New Roman" w:eastAsia="宋体" w:hAnsi="Times New Roman" w:cs="Times New Roman"/>
      <w:b/>
      <w:bCs/>
      <w:sz w:val="24"/>
      <w:szCs w:val="24"/>
    </w:rPr>
  </w:style>
  <w:style w:type="character" w:customStyle="1" w:styleId="80">
    <w:name w:val="标题 8 字符"/>
    <w:basedOn w:val="a0"/>
    <w:link w:val="8"/>
    <w:qFormat/>
    <w:rsid w:val="00D2114A"/>
    <w:rPr>
      <w:rFonts w:ascii="Calibri Light" w:eastAsia="宋体" w:hAnsi="Calibri Light" w:cs="Times New Roman"/>
      <w:sz w:val="24"/>
      <w:szCs w:val="24"/>
    </w:rPr>
  </w:style>
  <w:style w:type="character" w:customStyle="1" w:styleId="90">
    <w:name w:val="标题 9 字符"/>
    <w:basedOn w:val="a0"/>
    <w:link w:val="9"/>
    <w:rsid w:val="00D2114A"/>
    <w:rPr>
      <w:rFonts w:ascii="等线 Light" w:eastAsia="等线 Light" w:hAnsi="等线 Light" w:cs="Times New Roman"/>
      <w:szCs w:val="21"/>
    </w:rPr>
  </w:style>
  <w:style w:type="paragraph" w:styleId="a3">
    <w:name w:val="header"/>
    <w:basedOn w:val="a"/>
    <w:link w:val="a4"/>
    <w:uiPriority w:val="99"/>
    <w:unhideWhenUsed/>
    <w:qFormat/>
    <w:rsid w:val="003079E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079E8"/>
    <w:rPr>
      <w:sz w:val="18"/>
      <w:szCs w:val="18"/>
    </w:rPr>
  </w:style>
  <w:style w:type="paragraph" w:styleId="a5">
    <w:name w:val="footer"/>
    <w:basedOn w:val="a"/>
    <w:link w:val="a6"/>
    <w:uiPriority w:val="99"/>
    <w:unhideWhenUsed/>
    <w:qFormat/>
    <w:rsid w:val="003079E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3079E8"/>
    <w:rPr>
      <w:sz w:val="18"/>
      <w:szCs w:val="18"/>
    </w:rPr>
  </w:style>
  <w:style w:type="paragraph" w:styleId="a7">
    <w:name w:val="Normal (Web)"/>
    <w:basedOn w:val="a"/>
    <w:unhideWhenUsed/>
    <w:qFormat/>
    <w:rsid w:val="0079267F"/>
    <w:pPr>
      <w:widowControl/>
      <w:spacing w:before="100" w:beforeAutospacing="1" w:after="100" w:afterAutospacing="1"/>
      <w:jc w:val="left"/>
    </w:pPr>
    <w:rPr>
      <w:rFonts w:ascii="宋体" w:hAnsi="宋体" w:cs="宋体"/>
      <w:kern w:val="0"/>
      <w:sz w:val="24"/>
    </w:rPr>
  </w:style>
  <w:style w:type="paragraph" w:styleId="a8">
    <w:name w:val="Plain Text"/>
    <w:basedOn w:val="a"/>
    <w:link w:val="a9"/>
    <w:uiPriority w:val="99"/>
    <w:unhideWhenUsed/>
    <w:qFormat/>
    <w:rsid w:val="002F557C"/>
    <w:rPr>
      <w:rFonts w:ascii="宋体" w:hAnsi="Courier New" w:cs="Courier New"/>
      <w:szCs w:val="21"/>
    </w:rPr>
  </w:style>
  <w:style w:type="character" w:customStyle="1" w:styleId="a9">
    <w:name w:val="纯文本 字符"/>
    <w:basedOn w:val="a0"/>
    <w:link w:val="a8"/>
    <w:uiPriority w:val="99"/>
    <w:qFormat/>
    <w:rsid w:val="002F557C"/>
    <w:rPr>
      <w:rFonts w:ascii="宋体" w:eastAsia="宋体" w:hAnsi="Courier New" w:cs="Courier New"/>
      <w:szCs w:val="21"/>
    </w:rPr>
  </w:style>
  <w:style w:type="character" w:customStyle="1" w:styleId="FontStyle47">
    <w:name w:val="Font Style47"/>
    <w:autoRedefine/>
    <w:qFormat/>
    <w:rsid w:val="002F557C"/>
    <w:rPr>
      <w:rFonts w:ascii="Times New Roman" w:hAnsi="Times New Roman" w:cs="Times New Roman"/>
      <w:sz w:val="22"/>
      <w:szCs w:val="22"/>
    </w:rPr>
  </w:style>
  <w:style w:type="paragraph" w:styleId="aa">
    <w:name w:val="List Paragraph"/>
    <w:basedOn w:val="a"/>
    <w:autoRedefine/>
    <w:uiPriority w:val="34"/>
    <w:qFormat/>
    <w:rsid w:val="002F557C"/>
    <w:pPr>
      <w:ind w:firstLineChars="200" w:firstLine="420"/>
    </w:pPr>
    <w:rPr>
      <w:rFonts w:asciiTheme="minorHAnsi" w:eastAsiaTheme="minorEastAsia" w:hAnsiTheme="minorHAnsi" w:cstheme="minorBidi"/>
      <w:szCs w:val="22"/>
    </w:rPr>
  </w:style>
  <w:style w:type="paragraph" w:styleId="ab">
    <w:name w:val="Balloon Text"/>
    <w:basedOn w:val="a"/>
    <w:link w:val="ac"/>
    <w:semiHidden/>
    <w:unhideWhenUsed/>
    <w:qFormat/>
    <w:rsid w:val="00A81F0C"/>
    <w:rPr>
      <w:sz w:val="18"/>
      <w:szCs w:val="18"/>
    </w:rPr>
  </w:style>
  <w:style w:type="character" w:customStyle="1" w:styleId="ac">
    <w:name w:val="批注框文本 字符"/>
    <w:basedOn w:val="a0"/>
    <w:link w:val="ab"/>
    <w:uiPriority w:val="99"/>
    <w:semiHidden/>
    <w:rsid w:val="00A81F0C"/>
    <w:rPr>
      <w:rFonts w:ascii="Times New Roman" w:eastAsia="宋体" w:hAnsi="Times New Roman" w:cs="Times New Roman"/>
      <w:sz w:val="18"/>
      <w:szCs w:val="18"/>
    </w:rPr>
  </w:style>
  <w:style w:type="paragraph" w:styleId="ad">
    <w:name w:val="No Spacing"/>
    <w:qFormat/>
    <w:rsid w:val="00FA576D"/>
    <w:pPr>
      <w:widowControl w:val="0"/>
      <w:jc w:val="both"/>
    </w:pPr>
    <w:rPr>
      <w:rFonts w:ascii="Times New Roman" w:eastAsia="宋体" w:hAnsi="Times New Roman" w:cs="Times New Roman"/>
      <w:szCs w:val="24"/>
    </w:rPr>
  </w:style>
  <w:style w:type="paragraph" w:customStyle="1" w:styleId="21">
    <w:name w:val="列出段落2"/>
    <w:basedOn w:val="a"/>
    <w:qFormat/>
    <w:rsid w:val="00FA576D"/>
    <w:pPr>
      <w:widowControl/>
      <w:ind w:firstLineChars="200" w:firstLine="420"/>
      <w:jc w:val="left"/>
    </w:pPr>
    <w:rPr>
      <w:rFonts w:ascii="宋体" w:hAnsi="宋体" w:cs="宋体"/>
      <w:kern w:val="0"/>
      <w:sz w:val="24"/>
    </w:rPr>
  </w:style>
  <w:style w:type="paragraph" w:styleId="ae">
    <w:name w:val="annotation text"/>
    <w:basedOn w:val="a"/>
    <w:link w:val="af"/>
    <w:unhideWhenUsed/>
    <w:qFormat/>
    <w:rsid w:val="00E84CB3"/>
    <w:pPr>
      <w:jc w:val="left"/>
    </w:pPr>
    <w:rPr>
      <w:rFonts w:ascii="宋体" w:hAnsi="宋体" w:cs="宋体"/>
      <w:sz w:val="24"/>
    </w:rPr>
  </w:style>
  <w:style w:type="character" w:customStyle="1" w:styleId="af">
    <w:name w:val="批注文字 字符"/>
    <w:basedOn w:val="a0"/>
    <w:link w:val="ae"/>
    <w:qFormat/>
    <w:rsid w:val="00E84CB3"/>
    <w:rPr>
      <w:rFonts w:ascii="宋体" w:eastAsia="宋体" w:hAnsi="宋体" w:cs="宋体"/>
      <w:sz w:val="24"/>
      <w:szCs w:val="24"/>
    </w:rPr>
  </w:style>
  <w:style w:type="paragraph" w:customStyle="1" w:styleId="11">
    <w:name w:val="列出段落1"/>
    <w:basedOn w:val="a"/>
    <w:uiPriority w:val="34"/>
    <w:qFormat/>
    <w:rsid w:val="00E84CB3"/>
    <w:pPr>
      <w:ind w:firstLineChars="200" w:firstLine="420"/>
    </w:pPr>
    <w:rPr>
      <w:rFonts w:ascii="Calibri" w:hAnsi="Calibri" w:cs="黑体"/>
      <w:szCs w:val="22"/>
    </w:rPr>
  </w:style>
  <w:style w:type="character" w:styleId="af0">
    <w:name w:val="page number"/>
    <w:qFormat/>
    <w:rsid w:val="00D2114A"/>
  </w:style>
  <w:style w:type="character" w:styleId="af1">
    <w:name w:val="line number"/>
    <w:qFormat/>
    <w:rsid w:val="00D2114A"/>
  </w:style>
  <w:style w:type="character" w:styleId="af2">
    <w:name w:val="annotation reference"/>
    <w:uiPriority w:val="99"/>
    <w:qFormat/>
    <w:rsid w:val="00D2114A"/>
    <w:rPr>
      <w:sz w:val="21"/>
      <w:szCs w:val="21"/>
    </w:rPr>
  </w:style>
  <w:style w:type="character" w:customStyle="1" w:styleId="af3">
    <w:name w:val="日期 字符"/>
    <w:link w:val="af4"/>
    <w:qFormat/>
    <w:rsid w:val="00D2114A"/>
    <w:rPr>
      <w:szCs w:val="24"/>
    </w:rPr>
  </w:style>
  <w:style w:type="paragraph" w:styleId="af4">
    <w:name w:val="Date"/>
    <w:basedOn w:val="a"/>
    <w:next w:val="a"/>
    <w:link w:val="af3"/>
    <w:qFormat/>
    <w:rsid w:val="00D2114A"/>
    <w:pPr>
      <w:ind w:leftChars="2500" w:left="100"/>
    </w:pPr>
    <w:rPr>
      <w:rFonts w:asciiTheme="minorHAnsi" w:eastAsiaTheme="minorEastAsia" w:hAnsiTheme="minorHAnsi" w:cstheme="minorBidi"/>
    </w:rPr>
  </w:style>
  <w:style w:type="character" w:customStyle="1" w:styleId="af5">
    <w:name w:val="批注主题 字符"/>
    <w:link w:val="af6"/>
    <w:qFormat/>
    <w:rsid w:val="00D2114A"/>
    <w:rPr>
      <w:b/>
      <w:bCs/>
      <w:szCs w:val="24"/>
    </w:rPr>
  </w:style>
  <w:style w:type="paragraph" w:styleId="af6">
    <w:name w:val="annotation subject"/>
    <w:basedOn w:val="ae"/>
    <w:next w:val="ae"/>
    <w:link w:val="af5"/>
    <w:qFormat/>
    <w:rsid w:val="00D2114A"/>
    <w:rPr>
      <w:rFonts w:asciiTheme="minorHAnsi" w:eastAsiaTheme="minorEastAsia" w:hAnsiTheme="minorHAnsi" w:cstheme="minorBidi"/>
      <w:b/>
      <w:bCs/>
      <w:sz w:val="21"/>
    </w:rPr>
  </w:style>
  <w:style w:type="character" w:customStyle="1" w:styleId="af7">
    <w:name w:val="正文文本 字符"/>
    <w:link w:val="af8"/>
    <w:qFormat/>
    <w:rsid w:val="00D2114A"/>
    <w:rPr>
      <w:rFonts w:ascii="Times New Roman" w:hAnsi="Times New Roman"/>
      <w:szCs w:val="24"/>
    </w:rPr>
  </w:style>
  <w:style w:type="paragraph" w:styleId="af8">
    <w:name w:val="Body Text"/>
    <w:basedOn w:val="a"/>
    <w:link w:val="af7"/>
    <w:qFormat/>
    <w:rsid w:val="00D2114A"/>
    <w:pPr>
      <w:spacing w:after="120"/>
    </w:pPr>
    <w:rPr>
      <w:rFonts w:eastAsiaTheme="minorEastAsia" w:cstheme="minorBidi"/>
    </w:rPr>
  </w:style>
  <w:style w:type="character" w:customStyle="1" w:styleId="af9">
    <w:name w:val="文档结构图 字符"/>
    <w:basedOn w:val="a0"/>
    <w:link w:val="afa"/>
    <w:semiHidden/>
    <w:rsid w:val="00D2114A"/>
    <w:rPr>
      <w:rFonts w:ascii="Times New Roman" w:eastAsia="宋体" w:hAnsi="Times New Roman" w:cs="Times New Roman"/>
      <w:szCs w:val="24"/>
      <w:shd w:val="clear" w:color="auto" w:fill="000080"/>
    </w:rPr>
  </w:style>
  <w:style w:type="paragraph" w:styleId="afa">
    <w:name w:val="Document Map"/>
    <w:basedOn w:val="a"/>
    <w:link w:val="af9"/>
    <w:semiHidden/>
    <w:rsid w:val="00D2114A"/>
    <w:pPr>
      <w:shd w:val="clear" w:color="auto" w:fill="000080"/>
    </w:pPr>
  </w:style>
  <w:style w:type="character" w:customStyle="1" w:styleId="12">
    <w:name w:val="日期 字符1"/>
    <w:basedOn w:val="a0"/>
    <w:uiPriority w:val="99"/>
    <w:semiHidden/>
    <w:rsid w:val="00D2114A"/>
    <w:rPr>
      <w:rFonts w:ascii="Times New Roman" w:eastAsia="宋体" w:hAnsi="Times New Roman" w:cs="Times New Roman"/>
      <w:szCs w:val="24"/>
    </w:rPr>
  </w:style>
  <w:style w:type="character" w:customStyle="1" w:styleId="13">
    <w:name w:val="正文文本 字符1"/>
    <w:basedOn w:val="a0"/>
    <w:uiPriority w:val="99"/>
    <w:semiHidden/>
    <w:rsid w:val="00D2114A"/>
    <w:rPr>
      <w:rFonts w:ascii="Times New Roman" w:eastAsia="宋体" w:hAnsi="Times New Roman" w:cs="Times New Roman"/>
      <w:szCs w:val="24"/>
    </w:rPr>
  </w:style>
  <w:style w:type="character" w:customStyle="1" w:styleId="14">
    <w:name w:val="批注主题 字符1"/>
    <w:basedOn w:val="af"/>
    <w:uiPriority w:val="99"/>
    <w:semiHidden/>
    <w:rsid w:val="00D2114A"/>
    <w:rPr>
      <w:rFonts w:ascii="Times New Roman" w:eastAsia="宋体" w:hAnsi="Times New Roman" w:cs="Times New Roman"/>
      <w:b/>
      <w:bCs/>
      <w:sz w:val="24"/>
      <w:szCs w:val="24"/>
    </w:rPr>
  </w:style>
  <w:style w:type="paragraph" w:styleId="afb">
    <w:name w:val="Revision"/>
    <w:hidden/>
    <w:uiPriority w:val="99"/>
    <w:unhideWhenUsed/>
    <w:rsid w:val="00D2114A"/>
    <w:rPr>
      <w:rFonts w:ascii="Times New Roman" w:eastAsia="宋体" w:hAnsi="Times New Roman" w:cs="Times New Roman"/>
      <w:szCs w:val="24"/>
    </w:rPr>
  </w:style>
  <w:style w:type="paragraph" w:customStyle="1" w:styleId="Default">
    <w:name w:val="Default"/>
    <w:qFormat/>
    <w:rsid w:val="00D2114A"/>
    <w:pPr>
      <w:widowControl w:val="0"/>
      <w:autoSpaceDE w:val="0"/>
      <w:autoSpaceDN w:val="0"/>
      <w:adjustRightInd w:val="0"/>
    </w:pPr>
    <w:rPr>
      <w:rFonts w:ascii="黑体" w:eastAsia="黑体" w:hAnsi="Times New Roman" w:cs="黑体"/>
      <w:color w:val="000000"/>
      <w:kern w:val="0"/>
      <w:sz w:val="24"/>
      <w:szCs w:val="24"/>
    </w:rPr>
  </w:style>
  <w:style w:type="table" w:styleId="afc">
    <w:name w:val="Table Grid"/>
    <w:basedOn w:val="a1"/>
    <w:uiPriority w:val="39"/>
    <w:qFormat/>
    <w:rsid w:val="00D941B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普通(Web)"/>
    <w:basedOn w:val="a"/>
    <w:qFormat/>
    <w:rsid w:val="00137012"/>
    <w:pPr>
      <w:widowControl/>
      <w:spacing w:before="100" w:beforeAutospacing="1" w:after="100" w:afterAutospacing="1"/>
      <w:jc w:val="left"/>
    </w:pPr>
    <w:rPr>
      <w:rFonts w:ascii="宋体" w:hAnsi="宋体"/>
      <w:color w:val="000000"/>
      <w:kern w:val="0"/>
      <w:sz w:val="24"/>
    </w:rPr>
  </w:style>
  <w:style w:type="paragraph" w:styleId="afd">
    <w:name w:val="footnote text"/>
    <w:basedOn w:val="a"/>
    <w:link w:val="afe"/>
    <w:unhideWhenUsed/>
    <w:qFormat/>
    <w:rsid w:val="002D5575"/>
    <w:pPr>
      <w:snapToGrid w:val="0"/>
      <w:jc w:val="left"/>
    </w:pPr>
    <w:rPr>
      <w:rFonts w:eastAsia="Adobe 仿宋 Std R"/>
      <w:sz w:val="18"/>
      <w:szCs w:val="18"/>
    </w:rPr>
  </w:style>
  <w:style w:type="character" w:customStyle="1" w:styleId="afe">
    <w:name w:val="脚注文本 字符"/>
    <w:basedOn w:val="a0"/>
    <w:link w:val="afd"/>
    <w:uiPriority w:val="99"/>
    <w:semiHidden/>
    <w:rsid w:val="002D5575"/>
    <w:rPr>
      <w:rFonts w:ascii="Times New Roman" w:eastAsia="Adobe 仿宋 Std R" w:hAnsi="Times New Roman" w:cs="Times New Roman"/>
      <w:sz w:val="18"/>
      <w:szCs w:val="18"/>
    </w:rPr>
  </w:style>
  <w:style w:type="character" w:styleId="aff">
    <w:name w:val="footnote reference"/>
    <w:unhideWhenUsed/>
    <w:qFormat/>
    <w:rsid w:val="002D5575"/>
    <w:rPr>
      <w:vertAlign w:val="superscript"/>
    </w:rPr>
  </w:style>
  <w:style w:type="character" w:styleId="aff0">
    <w:name w:val="Hyperlink"/>
    <w:basedOn w:val="a0"/>
    <w:qFormat/>
    <w:rsid w:val="004067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048139">
      <w:bodyDiv w:val="1"/>
      <w:marLeft w:val="0"/>
      <w:marRight w:val="0"/>
      <w:marTop w:val="0"/>
      <w:marBottom w:val="0"/>
      <w:divBdr>
        <w:top w:val="none" w:sz="0" w:space="0" w:color="auto"/>
        <w:left w:val="none" w:sz="0" w:space="0" w:color="auto"/>
        <w:bottom w:val="none" w:sz="0" w:space="0" w:color="auto"/>
        <w:right w:val="none" w:sz="0" w:space="0" w:color="auto"/>
      </w:divBdr>
    </w:div>
    <w:div w:id="170605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de.org.cn/directory/web/cmde/images/1689818473273090283.docx" TargetMode="External"/><Relationship Id="rId13" Type="http://schemas.openxmlformats.org/officeDocument/2006/relationships/hyperlink" Target="https://std.samr.gov.cn/gb/search/gbDetailed?id=DD3D95E5C13071EBE05397BE0A0AF33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yperlink" Target="https://www.fda.gov/regulatory-information/search-fda-guidance-documents/policy-device-software-functions-and-mobile-medical-applications" TargetMode="External"/><Relationship Id="rId10" Type="http://schemas.openxmlformats.org/officeDocument/2006/relationships/hyperlink" Target="javascript:void(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https://std.samr.gov.cn/gb/search/gbDetailed?id=FC816D04FFDC62EBE05397BE0A0AD5F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02711-1C61-4439-BE97-25A83477F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1663</Words>
  <Characters>9485</Characters>
  <Application>Microsoft Office Word</Application>
  <DocSecurity>0</DocSecurity>
  <Lines>79</Lines>
  <Paragraphs>22</Paragraphs>
  <ScaleCrop>false</ScaleCrop>
  <Company>神州网信技术有限公司</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屈贝贝</cp:lastModifiedBy>
  <cp:revision>23</cp:revision>
  <cp:lastPrinted>2025-04-22T06:56:00Z</cp:lastPrinted>
  <dcterms:created xsi:type="dcterms:W3CDTF">2025-05-07T00:56:00Z</dcterms:created>
  <dcterms:modified xsi:type="dcterms:W3CDTF">2025-05-07T05:40:00Z</dcterms:modified>
</cp:coreProperties>
</file>