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0462D">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63E4B330">
      <w:pPr>
        <w:rPr>
          <w:rFonts w:hint="eastAsia" w:ascii="黑体" w:hAnsi="黑体" w:eastAsia="黑体" w:cs="黑体"/>
          <w:sz w:val="32"/>
          <w:szCs w:val="32"/>
          <w:lang w:val="en-US" w:eastAsia="zh-CN"/>
        </w:rPr>
      </w:pPr>
    </w:p>
    <w:p w14:paraId="11E9878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处方药网络零售合规指南</w:t>
      </w:r>
    </w:p>
    <w:p w14:paraId="1361A0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（征求意见稿）</w:t>
      </w:r>
    </w:p>
    <w:p w14:paraId="0FB13A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rPr>
      </w:pPr>
    </w:p>
    <w:p w14:paraId="531E8FE9">
      <w:pPr>
        <w:keepNext w:val="0"/>
        <w:keepLines w:val="0"/>
        <w:pageBreakBefore w:val="0"/>
        <w:widowControl w:val="0"/>
        <w:numPr>
          <w:ilvl w:val="0"/>
          <w:numId w:val="1"/>
        </w:numPr>
        <w:kinsoku/>
        <w:wordWrap/>
        <w:overflowPunct/>
        <w:topLinePunct w:val="0"/>
        <w:autoSpaceDE/>
        <w:autoSpaceDN/>
        <w:bidi w:val="0"/>
        <w:adjustRightInd/>
        <w:snapToGrid/>
        <w:spacing w:beforeLines="0" w:line="560" w:lineRule="exact"/>
        <w:ind w:left="0" w:leftChars="0" w:firstLine="0" w:firstLineChars="0"/>
        <w:jc w:val="center"/>
        <w:textAlignment w:val="auto"/>
        <w:outlineLvl w:val="0"/>
        <w:rPr>
          <w:rFonts w:hint="eastAsia" w:ascii="方正小标宋简体" w:hAnsi="方正小标宋简体" w:eastAsia="方正小标宋简体" w:cs="方正小标宋简体"/>
          <w:sz w:val="32"/>
          <w:lang w:eastAsia="zh-CN"/>
        </w:rPr>
      </w:pPr>
      <w:r>
        <w:rPr>
          <w:rFonts w:hint="eastAsia" w:ascii="方正小标宋简体" w:hAnsi="方正小标宋简体" w:eastAsia="方正小标宋简体" w:cs="方正小标宋简体"/>
          <w:sz w:val="32"/>
          <w:lang w:val="en-US" w:eastAsia="zh-CN"/>
        </w:rPr>
        <w:t xml:space="preserve"> </w:t>
      </w:r>
      <w:r>
        <w:rPr>
          <w:rFonts w:hint="eastAsia" w:ascii="方正小标宋简体" w:hAnsi="方正小标宋简体" w:eastAsia="方正小标宋简体" w:cs="方正小标宋简体"/>
          <w:sz w:val="32"/>
          <w:lang w:eastAsia="zh-CN"/>
        </w:rPr>
        <w:t>总</w:t>
      </w:r>
      <w:r>
        <w:rPr>
          <w:rFonts w:hint="default" w:ascii="方正小标宋简体" w:hAnsi="方正小标宋简体" w:eastAsia="方正小标宋简体" w:cs="方正小标宋简体"/>
          <w:sz w:val="32"/>
          <w:lang w:val="en-US" w:eastAsia="zh-CN"/>
        </w:rPr>
        <w:t xml:space="preserve">  </w:t>
      </w:r>
      <w:r>
        <w:rPr>
          <w:rFonts w:hint="eastAsia" w:ascii="方正小标宋简体" w:hAnsi="方正小标宋简体" w:eastAsia="方正小标宋简体" w:cs="方正小标宋简体"/>
          <w:sz w:val="32"/>
          <w:lang w:eastAsia="zh-CN"/>
        </w:rPr>
        <w:t>则</w:t>
      </w:r>
    </w:p>
    <w:p w14:paraId="4028AD3A">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黑体" w:hAnsi="黑体" w:eastAsia="黑体" w:cs="黑体"/>
          <w:sz w:val="32"/>
          <w:lang w:eastAsia="zh-CN"/>
        </w:rPr>
      </w:pPr>
      <w:r>
        <w:rPr>
          <w:rFonts w:hint="eastAsia" w:ascii="黑体" w:hAnsi="黑体" w:eastAsia="黑体" w:cs="黑体"/>
          <w:sz w:val="32"/>
        </w:rPr>
        <w:t>【目的和依据</w:t>
      </w:r>
      <w:r>
        <w:rPr>
          <w:rFonts w:hint="default" w:ascii="黑体" w:hAnsi="黑体" w:eastAsia="黑体" w:cs="黑体"/>
          <w:sz w:val="32"/>
          <w:lang w:val="en-US"/>
        </w:rPr>
        <w:t xml:space="preserve">】  </w:t>
      </w:r>
      <w:r>
        <w:rPr>
          <w:rFonts w:hint="eastAsia" w:ascii="Times New Roman" w:hAnsi="Times New Roman" w:eastAsia="仿宋_GB2312"/>
          <w:sz w:val="32"/>
        </w:rPr>
        <w:t>为切实保障网络</w:t>
      </w:r>
      <w:r>
        <w:rPr>
          <w:rFonts w:hint="eastAsia" w:ascii="Times New Roman" w:hAnsi="Times New Roman" w:eastAsia="仿宋_GB2312"/>
          <w:sz w:val="32"/>
          <w:lang w:val="en-US" w:eastAsia="zh-CN"/>
        </w:rPr>
        <w:t>零</w:t>
      </w:r>
      <w:r>
        <w:rPr>
          <w:rFonts w:hint="eastAsia" w:ascii="Times New Roman" w:hAnsi="Times New Roman" w:eastAsia="仿宋_GB2312"/>
          <w:sz w:val="32"/>
        </w:rPr>
        <w:t>售药品质量安全，规范处方药网络零售行为，提高药品网络零售相关从业者的合规意识，落实药品安全主体责任，根据《中华人民共和国药品管理法》《药品网络销售监督管理办法》《药品经营和使用质量监督管理办法》《药品经营质量管理规范》等法律法规</w:t>
      </w:r>
      <w:r>
        <w:rPr>
          <w:rFonts w:hint="eastAsia" w:ascii="Times New Roman" w:hAnsi="Times New Roman" w:eastAsia="仿宋_GB2312"/>
          <w:sz w:val="32"/>
          <w:lang w:val="en-US" w:eastAsia="zh-CN"/>
        </w:rPr>
        <w:t>规章</w:t>
      </w:r>
      <w:r>
        <w:rPr>
          <w:rFonts w:hint="eastAsia" w:ascii="Times New Roman" w:hAnsi="Times New Roman" w:eastAsia="仿宋_GB2312"/>
          <w:sz w:val="32"/>
        </w:rPr>
        <w:t>的规定，制定本指南。</w:t>
      </w:r>
    </w:p>
    <w:p w14:paraId="6B98C7A3">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黑体" w:hAnsi="黑体" w:eastAsia="黑体" w:cs="黑体"/>
          <w:sz w:val="32"/>
          <w:lang w:eastAsia="zh-CN"/>
        </w:rPr>
      </w:pPr>
      <w:r>
        <w:rPr>
          <w:rFonts w:hint="eastAsia" w:ascii="黑体" w:hAnsi="黑体" w:eastAsia="黑体" w:cs="黑体"/>
          <w:sz w:val="32"/>
        </w:rPr>
        <w:t>【适用范围</w:t>
      </w:r>
      <w:r>
        <w:rPr>
          <w:rFonts w:hint="default" w:ascii="黑体" w:hAnsi="黑体" w:eastAsia="黑体" w:cs="黑体"/>
          <w:sz w:val="32"/>
          <w:lang w:val="en-US"/>
        </w:rPr>
        <w:t xml:space="preserve">】  </w:t>
      </w:r>
      <w:r>
        <w:rPr>
          <w:rFonts w:hint="eastAsia" w:ascii="仿宋_GB2312" w:hAnsi="仿宋_GB2312" w:eastAsia="仿宋_GB2312" w:cs="仿宋_GB2312"/>
          <w:sz w:val="32"/>
        </w:rPr>
        <w:t>在中华人民共和国境内从事药品网络</w:t>
      </w:r>
      <w:r>
        <w:rPr>
          <w:rFonts w:hint="eastAsia" w:ascii="仿宋_GB2312" w:hAnsi="仿宋_GB2312" w:eastAsia="仿宋_GB2312" w:cs="仿宋_GB2312"/>
          <w:sz w:val="32"/>
          <w:lang w:val="en-US" w:eastAsia="zh-CN"/>
        </w:rPr>
        <w:t>零</w:t>
      </w:r>
      <w:r>
        <w:rPr>
          <w:rFonts w:hint="eastAsia" w:ascii="仿宋_GB2312" w:hAnsi="仿宋_GB2312" w:eastAsia="仿宋_GB2312" w:cs="仿宋_GB2312"/>
          <w:sz w:val="32"/>
        </w:rPr>
        <w:t>售、提供药品网络交易平台服务及其监督管理，</w:t>
      </w:r>
      <w:r>
        <w:rPr>
          <w:rFonts w:hint="eastAsia" w:ascii="仿宋_GB2312" w:hAnsi="仿宋_GB2312" w:eastAsia="仿宋_GB2312" w:cs="仿宋_GB2312"/>
          <w:sz w:val="32"/>
          <w:lang w:eastAsia="zh-CN"/>
        </w:rPr>
        <w:t>适用本指南。</w:t>
      </w:r>
    </w:p>
    <w:p w14:paraId="5C3BFC69">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sz w:val="32"/>
        </w:rPr>
      </w:pPr>
      <w:r>
        <w:rPr>
          <w:rFonts w:hint="eastAsia" w:ascii="黑体" w:hAnsi="黑体" w:eastAsia="黑体" w:cs="黑体"/>
          <w:sz w:val="32"/>
        </w:rPr>
        <w:t>【基本概念</w:t>
      </w:r>
      <w:r>
        <w:rPr>
          <w:rFonts w:hint="default" w:ascii="黑体" w:hAnsi="黑体" w:eastAsia="黑体" w:cs="黑体"/>
          <w:sz w:val="32"/>
          <w:lang w:val="en-US"/>
        </w:rPr>
        <w:t xml:space="preserve">】  </w:t>
      </w:r>
      <w:r>
        <w:rPr>
          <w:rFonts w:hint="eastAsia" w:ascii="Times New Roman" w:hAnsi="Times New Roman" w:eastAsia="仿宋_GB2312"/>
          <w:sz w:val="32"/>
        </w:rPr>
        <w:t>本指南所称处方药</w:t>
      </w:r>
      <w:r>
        <w:rPr>
          <w:rFonts w:hint="eastAsia" w:ascii="Times New Roman" w:hAnsi="Times New Roman" w:eastAsia="仿宋_GB2312"/>
          <w:sz w:val="32"/>
          <w:lang w:eastAsia="zh-CN"/>
        </w:rPr>
        <w:t>是指在中国境内</w:t>
      </w:r>
      <w:r>
        <w:rPr>
          <w:rFonts w:hint="eastAsia" w:ascii="Times New Roman" w:hAnsi="Times New Roman" w:eastAsia="仿宋_GB2312"/>
          <w:sz w:val="32"/>
        </w:rPr>
        <w:t>依法取得药品注册证书</w:t>
      </w:r>
      <w:r>
        <w:rPr>
          <w:rFonts w:hint="eastAsia" w:ascii="Times New Roman" w:hAnsi="Times New Roman" w:eastAsia="仿宋_GB2312"/>
          <w:sz w:val="32"/>
          <w:lang w:eastAsia="zh-CN"/>
        </w:rPr>
        <w:t>，</w:t>
      </w:r>
      <w:r>
        <w:rPr>
          <w:rFonts w:hint="eastAsia" w:ascii="Times New Roman" w:hAnsi="Times New Roman" w:eastAsia="仿宋_GB2312"/>
          <w:sz w:val="32"/>
        </w:rPr>
        <w:t>凭执业医师或执业助理医师处方</w:t>
      </w:r>
      <w:r>
        <w:rPr>
          <w:rFonts w:hint="eastAsia" w:ascii="Times New Roman" w:hAnsi="Times New Roman" w:eastAsia="仿宋_GB2312"/>
          <w:sz w:val="32"/>
          <w:lang w:val="en-US" w:eastAsia="zh-CN"/>
        </w:rPr>
        <w:t>才可</w:t>
      </w:r>
      <w:r>
        <w:rPr>
          <w:rFonts w:hint="eastAsia" w:ascii="Times New Roman" w:hAnsi="Times New Roman" w:eastAsia="仿宋_GB2312"/>
          <w:sz w:val="32"/>
          <w:lang w:eastAsia="zh-CN"/>
        </w:rPr>
        <w:t>进行</w:t>
      </w:r>
      <w:r>
        <w:rPr>
          <w:rFonts w:hint="eastAsia" w:ascii="Times New Roman" w:hAnsi="Times New Roman" w:eastAsia="仿宋_GB2312"/>
          <w:sz w:val="32"/>
        </w:rPr>
        <w:t>调配、购买和使用</w:t>
      </w:r>
      <w:r>
        <w:rPr>
          <w:rFonts w:hint="eastAsia" w:ascii="Times New Roman" w:hAnsi="Times New Roman" w:eastAsia="仿宋_GB2312"/>
          <w:sz w:val="32"/>
          <w:lang w:eastAsia="zh-CN"/>
        </w:rPr>
        <w:t>的药品。</w:t>
      </w:r>
    </w:p>
    <w:p w14:paraId="3992FD0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line="560" w:lineRule="exact"/>
        <w:ind w:leftChars="0"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本指南所称处方药网络零售</w:t>
      </w:r>
      <w:r>
        <w:rPr>
          <w:rFonts w:hint="eastAsia" w:ascii="Times New Roman" w:hAnsi="Times New Roman" w:eastAsia="仿宋_GB2312"/>
          <w:sz w:val="32"/>
          <w:lang w:eastAsia="zh-CN"/>
        </w:rPr>
        <w:t>行为</w:t>
      </w:r>
      <w:r>
        <w:rPr>
          <w:rFonts w:hint="eastAsia" w:ascii="Times New Roman" w:hAnsi="Times New Roman" w:eastAsia="仿宋_GB2312"/>
          <w:sz w:val="32"/>
        </w:rPr>
        <w:t>，是指依法取得药品零售许可的企业在批准的经营范围内通过网络向个人消费者销售处方药的经营行为。</w:t>
      </w:r>
    </w:p>
    <w:p w14:paraId="116147ED">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rPr>
        <w:t>本指南所称合规，是指药品网络零售相关从业者的经营管理行为符合法律</w:t>
      </w:r>
      <w:r>
        <w:rPr>
          <w:rFonts w:hint="eastAsia" w:ascii="Times New Roman" w:hAnsi="Times New Roman" w:eastAsia="仿宋_GB2312"/>
          <w:sz w:val="32"/>
          <w:lang w:eastAsia="zh-CN"/>
        </w:rPr>
        <w:t>、</w:t>
      </w:r>
      <w:r>
        <w:rPr>
          <w:rFonts w:hint="eastAsia" w:ascii="Times New Roman" w:hAnsi="Times New Roman" w:eastAsia="仿宋_GB2312"/>
          <w:sz w:val="32"/>
        </w:rPr>
        <w:t>法规</w:t>
      </w:r>
      <w:r>
        <w:rPr>
          <w:rFonts w:hint="eastAsia" w:ascii="Times New Roman" w:hAnsi="Times New Roman" w:eastAsia="仿宋_GB2312"/>
          <w:sz w:val="32"/>
          <w:lang w:eastAsia="zh-CN"/>
        </w:rPr>
        <w:t>、</w:t>
      </w:r>
      <w:r>
        <w:rPr>
          <w:rFonts w:hint="eastAsia" w:ascii="Times New Roman" w:hAnsi="Times New Roman" w:eastAsia="仿宋_GB2312"/>
          <w:sz w:val="32"/>
        </w:rPr>
        <w:t>规章及其他规范性文件的要求。</w:t>
      </w:r>
    </w:p>
    <w:p w14:paraId="1B884FD7">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本指南所称药学服务，是指</w:t>
      </w:r>
      <w:r>
        <w:rPr>
          <w:rFonts w:hint="eastAsia" w:ascii="Times New Roman" w:hAnsi="Times New Roman" w:eastAsia="仿宋_GB2312"/>
          <w:color w:val="auto"/>
          <w:sz w:val="32"/>
        </w:rPr>
        <w:t>依法经过资格认定的药师</w:t>
      </w:r>
      <w:r>
        <w:rPr>
          <w:rFonts w:hint="eastAsia" w:ascii="Times New Roman" w:hAnsi="Times New Roman" w:eastAsia="仿宋_GB2312"/>
          <w:color w:val="auto"/>
          <w:sz w:val="32"/>
          <w:lang w:eastAsia="zh-CN"/>
        </w:rPr>
        <w:t>或者</w:t>
      </w:r>
      <w:r>
        <w:rPr>
          <w:rFonts w:hint="eastAsia" w:ascii="Times New Roman" w:hAnsi="Times New Roman" w:eastAsia="仿宋_GB2312"/>
          <w:color w:val="auto"/>
          <w:sz w:val="32"/>
        </w:rPr>
        <w:t>其他药学技术人员</w:t>
      </w:r>
      <w:r>
        <w:rPr>
          <w:rFonts w:hint="eastAsia" w:ascii="Times New Roman" w:hAnsi="Times New Roman" w:eastAsia="仿宋_GB2312"/>
          <w:sz w:val="32"/>
        </w:rPr>
        <w:t>应用药学专业知识、技能和工具，向公众提供直接的、负责任的与用药相关的服务，以期提高药物治疗的安全性、有效性、经济性和适宜性的行为。包括处方</w:t>
      </w:r>
      <w:r>
        <w:rPr>
          <w:rFonts w:hint="eastAsia" w:ascii="Times New Roman" w:hAnsi="Times New Roman" w:eastAsia="仿宋_GB2312"/>
          <w:sz w:val="32"/>
          <w:lang w:eastAsia="zh-CN"/>
        </w:rPr>
        <w:t>审核和调配</w:t>
      </w:r>
      <w:r>
        <w:rPr>
          <w:rFonts w:hint="eastAsia" w:ascii="Times New Roman" w:hAnsi="Times New Roman" w:eastAsia="仿宋_GB2312"/>
          <w:sz w:val="32"/>
        </w:rPr>
        <w:t>、用药指导、药品不良反应监测、健康宣教等。</w:t>
      </w:r>
    </w:p>
    <w:p w14:paraId="70D23659">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lang w:eastAsia="zh-CN"/>
        </w:rPr>
      </w:pPr>
      <w:r>
        <w:rPr>
          <w:rFonts w:hint="eastAsia" w:ascii="黑体" w:hAnsi="黑体" w:eastAsia="黑体" w:cs="黑体"/>
          <w:sz w:val="32"/>
        </w:rPr>
        <w:t>【合规</w:t>
      </w:r>
      <w:r>
        <w:rPr>
          <w:rFonts w:hint="eastAsia" w:ascii="黑体" w:hAnsi="黑体" w:eastAsia="黑体" w:cs="黑体"/>
          <w:sz w:val="32"/>
          <w:lang w:eastAsia="zh-CN"/>
        </w:rPr>
        <w:t>要求及</w:t>
      </w:r>
      <w:r>
        <w:rPr>
          <w:rFonts w:hint="eastAsia" w:ascii="黑体" w:hAnsi="黑体" w:eastAsia="黑体" w:cs="黑体"/>
          <w:sz w:val="32"/>
        </w:rPr>
        <w:t>文化倡导</w:t>
      </w:r>
      <w:r>
        <w:rPr>
          <w:rFonts w:hint="default" w:ascii="黑体" w:hAnsi="黑体" w:eastAsia="黑体" w:cs="黑体"/>
          <w:sz w:val="32"/>
          <w:lang w:val="en-US"/>
        </w:rPr>
        <w:t xml:space="preserve">】  </w:t>
      </w:r>
      <w:r>
        <w:rPr>
          <w:rFonts w:hint="eastAsia" w:ascii="Times New Roman" w:hAnsi="Times New Roman" w:eastAsia="仿宋_GB2312"/>
          <w:sz w:val="32"/>
        </w:rPr>
        <w:t>企业</w:t>
      </w:r>
      <w:r>
        <w:rPr>
          <w:rFonts w:hint="eastAsia" w:ascii="Times New Roman" w:hAnsi="Times New Roman" w:eastAsia="仿宋_GB2312"/>
          <w:sz w:val="32"/>
          <w:lang w:val="en-US" w:eastAsia="zh-CN"/>
        </w:rPr>
        <w:t>应当</w:t>
      </w:r>
      <w:r>
        <w:rPr>
          <w:rFonts w:hint="eastAsia" w:ascii="Times New Roman" w:hAnsi="Times New Roman" w:eastAsia="仿宋_GB2312"/>
          <w:sz w:val="32"/>
          <w:lang w:eastAsia="zh-CN"/>
        </w:rPr>
        <w:t>依法</w:t>
      </w:r>
      <w:r>
        <w:rPr>
          <w:rFonts w:hint="eastAsia" w:ascii="Times New Roman" w:hAnsi="Times New Roman" w:eastAsia="仿宋_GB2312"/>
          <w:sz w:val="32"/>
        </w:rPr>
        <w:t>履行药品安全主体责任，持续完善药品质量安全管理体系和企业合规管理制度</w:t>
      </w:r>
      <w:r>
        <w:rPr>
          <w:rFonts w:hint="eastAsia" w:ascii="Times New Roman" w:hAnsi="Times New Roman" w:eastAsia="仿宋_GB2312"/>
          <w:sz w:val="32"/>
          <w:lang w:eastAsia="zh-CN"/>
        </w:rPr>
        <w:t>。企业应当在药品采购、储存、销售、运输等环节采取有效的质量控制措施，确保所售药品来源合法、流通过程可追溯。</w:t>
      </w:r>
    </w:p>
    <w:p w14:paraId="6A6A190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rPr>
        <w:t>加强处方药网络零售合规管理，有助于帮助药品网络交易第三方平台和药品网络零售企业识别、评估和管控可能存在的合规风险，避免因公众自我药疗、药物滥用造成社会危害，切实维护公众生命健康。</w:t>
      </w:r>
    </w:p>
    <w:p w14:paraId="4F0963BA">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sz w:val="32"/>
          <w:lang w:eastAsia="zh-CN"/>
        </w:rPr>
      </w:pPr>
    </w:p>
    <w:p w14:paraId="5F178DE9">
      <w:pPr>
        <w:keepNext w:val="0"/>
        <w:keepLines w:val="0"/>
        <w:pageBreakBefore w:val="0"/>
        <w:widowControl w:val="0"/>
        <w:numPr>
          <w:ilvl w:val="0"/>
          <w:numId w:val="3"/>
        </w:numPr>
        <w:kinsoku/>
        <w:wordWrap/>
        <w:overflowPunct/>
        <w:topLinePunct w:val="0"/>
        <w:autoSpaceDE/>
        <w:autoSpaceDN/>
        <w:bidi w:val="0"/>
        <w:adjustRightInd/>
        <w:snapToGrid/>
        <w:spacing w:beforeLines="0" w:line="560" w:lineRule="exact"/>
        <w:ind w:left="0" w:leftChars="0" w:firstLine="0" w:firstLineChars="0"/>
        <w:jc w:val="center"/>
        <w:textAlignment w:val="auto"/>
        <w:outlineLvl w:val="0"/>
        <w:rPr>
          <w:rFonts w:hint="eastAsia" w:ascii="方正小标宋简体" w:hAnsi="方正小标宋简体" w:eastAsia="方正小标宋简体" w:cs="方正小标宋简体"/>
          <w:sz w:val="32"/>
          <w:lang w:eastAsia="zh-CN"/>
        </w:rPr>
      </w:pPr>
      <w:r>
        <w:rPr>
          <w:rFonts w:hint="eastAsia" w:ascii="方正小标宋简体" w:hAnsi="方正小标宋简体" w:eastAsia="方正小标宋简体" w:cs="方正小标宋简体"/>
          <w:sz w:val="32"/>
          <w:lang w:val="en-US" w:eastAsia="zh-CN"/>
        </w:rPr>
        <w:t xml:space="preserve"> </w:t>
      </w:r>
      <w:r>
        <w:rPr>
          <w:rFonts w:hint="eastAsia" w:ascii="方正小标宋简体" w:hAnsi="方正小标宋简体" w:eastAsia="方正小标宋简体" w:cs="方正小标宋简体"/>
          <w:sz w:val="32"/>
          <w:lang w:eastAsia="zh-CN"/>
        </w:rPr>
        <w:t>经营主体的合规要求</w:t>
      </w:r>
    </w:p>
    <w:p w14:paraId="192BCF54">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lang w:eastAsia="zh-CN"/>
        </w:rPr>
      </w:pPr>
      <w:r>
        <w:rPr>
          <w:rFonts w:hint="eastAsia" w:ascii="黑体" w:hAnsi="黑体" w:eastAsia="黑体" w:cs="黑体"/>
          <w:sz w:val="32"/>
        </w:rPr>
        <w:t>【资质要求</w:t>
      </w:r>
      <w:r>
        <w:rPr>
          <w:rFonts w:hint="default" w:ascii="黑体" w:hAnsi="黑体" w:eastAsia="黑体" w:cs="黑体"/>
          <w:sz w:val="32"/>
          <w:lang w:val="en-US"/>
        </w:rPr>
        <w:t xml:space="preserve">】  </w:t>
      </w:r>
      <w:r>
        <w:rPr>
          <w:rFonts w:hint="eastAsia" w:ascii="Times New Roman" w:hAnsi="Times New Roman" w:eastAsia="仿宋_GB2312"/>
          <w:sz w:val="32"/>
        </w:rPr>
        <w:t>药品网络零售企业</w:t>
      </w:r>
      <w:r>
        <w:rPr>
          <w:rFonts w:hint="eastAsia" w:ascii="Times New Roman" w:hAnsi="Times New Roman" w:eastAsia="仿宋_GB2312"/>
          <w:sz w:val="32"/>
          <w:lang w:val="en-US" w:eastAsia="zh-CN"/>
        </w:rPr>
        <w:t>应当</w:t>
      </w:r>
      <w:r>
        <w:rPr>
          <w:rFonts w:hint="eastAsia" w:ascii="Times New Roman" w:hAnsi="Times New Roman" w:eastAsia="仿宋_GB2312"/>
          <w:sz w:val="32"/>
        </w:rPr>
        <w:t>经药品监督管理部门批准，依法取得药品经营许可证，严格遵守法律、法规、规章、标准和规范。</w:t>
      </w:r>
      <w:r>
        <w:rPr>
          <w:rFonts w:hint="eastAsia" w:ascii="Times New Roman" w:hAnsi="Times New Roman" w:eastAsia="仿宋_GB2312"/>
          <w:sz w:val="32"/>
          <w:lang w:eastAsia="zh-CN"/>
        </w:rPr>
        <w:t>企业</w:t>
      </w:r>
      <w:r>
        <w:rPr>
          <w:rFonts w:hint="eastAsia" w:ascii="Times New Roman" w:hAnsi="Times New Roman" w:eastAsia="仿宋_GB2312"/>
          <w:sz w:val="32"/>
        </w:rPr>
        <w:t>在网站首页或者经营活动的主页面显著位置持续</w:t>
      </w:r>
      <w:r>
        <w:rPr>
          <w:rFonts w:hint="eastAsia" w:ascii="Times New Roman" w:hAnsi="Times New Roman" w:eastAsia="仿宋_GB2312"/>
          <w:sz w:val="32"/>
          <w:lang w:eastAsia="zh-CN"/>
        </w:rPr>
        <w:t>公示</w:t>
      </w:r>
      <w:r>
        <w:rPr>
          <w:rFonts w:hint="eastAsia" w:ascii="Times New Roman" w:hAnsi="Times New Roman" w:eastAsia="仿宋_GB2312"/>
          <w:sz w:val="32"/>
          <w:lang w:val="en-US" w:eastAsia="zh-CN"/>
        </w:rPr>
        <w:t>的</w:t>
      </w:r>
      <w:r>
        <w:rPr>
          <w:rFonts w:hint="eastAsia" w:ascii="Times New Roman" w:hAnsi="Times New Roman" w:eastAsia="仿宋_GB2312"/>
          <w:sz w:val="32"/>
          <w:lang w:eastAsia="zh-CN"/>
        </w:rPr>
        <w:t>相关资质信息，可以通过文本、图片的形式呈现，确保信息真实、清晰、可读。</w:t>
      </w:r>
    </w:p>
    <w:p w14:paraId="11B2E7B3">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lang w:eastAsia="zh-CN"/>
        </w:rPr>
      </w:pPr>
      <w:r>
        <w:rPr>
          <w:rFonts w:hint="eastAsia" w:ascii="黑体" w:hAnsi="黑体" w:eastAsia="黑体" w:cs="黑体"/>
          <w:sz w:val="32"/>
        </w:rPr>
        <w:t>【报告要求</w:t>
      </w:r>
      <w:r>
        <w:rPr>
          <w:rFonts w:hint="default" w:ascii="黑体" w:hAnsi="黑体" w:eastAsia="黑体" w:cs="黑体"/>
          <w:sz w:val="32"/>
          <w:lang w:val="en-US"/>
        </w:rPr>
        <w:t xml:space="preserve">】  </w:t>
      </w:r>
      <w:r>
        <w:rPr>
          <w:rFonts w:hint="eastAsia" w:ascii="Times New Roman" w:hAnsi="Times New Roman" w:eastAsia="仿宋_GB2312"/>
          <w:sz w:val="32"/>
        </w:rPr>
        <w:t>药品网络零售企业应当向药品监督管理部门报告企业名称、网站名称、应用程序名称、IP地址、域名、药品经营许可证等信息。信息发生变化的，应当在10个工作日内报告。</w:t>
      </w:r>
    </w:p>
    <w:p w14:paraId="2EC7F2D7">
      <w:pPr>
        <w:keepNext w:val="0"/>
        <w:keepLines w:val="0"/>
        <w:pageBreakBefore w:val="0"/>
        <w:widowControl w:val="0"/>
        <w:numPr>
          <w:ilvl w:val="0"/>
          <w:numId w:val="2"/>
        </w:numPr>
        <w:kinsoku/>
        <w:wordWrap/>
        <w:overflowPunct/>
        <w:topLinePunct w:val="0"/>
        <w:autoSpaceDE/>
        <w:autoSpaceDN/>
        <w:bidi w:val="0"/>
        <w:adjustRightInd/>
        <w:snapToGrid/>
        <w:spacing w:beforeLines="0" w:line="590" w:lineRule="exact"/>
        <w:ind w:left="0" w:leftChars="0" w:firstLine="640" w:firstLineChars="200"/>
        <w:textAlignment w:val="auto"/>
        <w:rPr>
          <w:rFonts w:hint="eastAsia" w:ascii="Times New Roman" w:hAnsi="Times New Roman" w:eastAsia="仿宋_GB2312"/>
          <w:sz w:val="32"/>
          <w:lang w:eastAsia="zh-CN"/>
        </w:rPr>
      </w:pPr>
      <w:r>
        <w:rPr>
          <w:rFonts w:hint="eastAsia" w:ascii="黑体" w:hAnsi="黑体" w:eastAsia="黑体" w:cs="黑体"/>
          <w:sz w:val="32"/>
        </w:rPr>
        <w:t>【体系建设</w:t>
      </w:r>
      <w:r>
        <w:rPr>
          <w:rFonts w:hint="default" w:ascii="黑体" w:hAnsi="黑体" w:eastAsia="黑体" w:cs="黑体"/>
          <w:sz w:val="32"/>
          <w:lang w:val="en-US"/>
        </w:rPr>
        <w:t xml:space="preserve">】  </w:t>
      </w:r>
      <w:r>
        <w:rPr>
          <w:rFonts w:hint="eastAsia" w:ascii="Times New Roman" w:hAnsi="Times New Roman" w:eastAsia="仿宋_GB2312"/>
          <w:sz w:val="32"/>
        </w:rPr>
        <w:t>药品网络零售企业应当根据网络</w:t>
      </w:r>
      <w:r>
        <w:rPr>
          <w:rFonts w:hint="eastAsia" w:ascii="Times New Roman" w:hAnsi="Times New Roman" w:eastAsia="仿宋_GB2312"/>
          <w:sz w:val="32"/>
          <w:lang w:val="en-US" w:eastAsia="zh-CN"/>
        </w:rPr>
        <w:t>零</w:t>
      </w:r>
      <w:r>
        <w:rPr>
          <w:rFonts w:hint="eastAsia" w:ascii="Times New Roman" w:hAnsi="Times New Roman" w:eastAsia="仿宋_GB2312"/>
          <w:sz w:val="32"/>
        </w:rPr>
        <w:t>售的特点建立并实施在线药学服务制度，</w:t>
      </w:r>
      <w:r>
        <w:rPr>
          <w:rFonts w:hint="eastAsia" w:ascii="Times New Roman" w:hAnsi="Times New Roman" w:eastAsia="仿宋_GB2312"/>
          <w:sz w:val="32"/>
          <w:lang w:eastAsia="zh-CN"/>
        </w:rPr>
        <w:t>持续</w:t>
      </w:r>
      <w:r>
        <w:rPr>
          <w:rFonts w:hint="eastAsia" w:ascii="Times New Roman" w:hAnsi="Times New Roman" w:eastAsia="仿宋_GB2312"/>
          <w:sz w:val="32"/>
        </w:rPr>
        <w:t>完善药品经营质量管理体系，确保网络</w:t>
      </w:r>
      <w:r>
        <w:rPr>
          <w:rFonts w:hint="eastAsia" w:ascii="Times New Roman" w:hAnsi="Times New Roman" w:eastAsia="仿宋_GB2312"/>
          <w:sz w:val="32"/>
          <w:lang w:val="en-US" w:eastAsia="zh-CN"/>
        </w:rPr>
        <w:t>零</w:t>
      </w:r>
      <w:r>
        <w:rPr>
          <w:rFonts w:hint="eastAsia" w:ascii="Times New Roman" w:hAnsi="Times New Roman" w:eastAsia="仿宋_GB2312"/>
          <w:sz w:val="32"/>
        </w:rPr>
        <w:t>售过程持续符合药品经营质量管理规范及其附录的有关要求。</w:t>
      </w:r>
    </w:p>
    <w:p w14:paraId="7B515EF9">
      <w:pPr>
        <w:keepNext w:val="0"/>
        <w:keepLines w:val="0"/>
        <w:pageBreakBefore w:val="0"/>
        <w:widowControl w:val="0"/>
        <w:numPr>
          <w:ilvl w:val="0"/>
          <w:numId w:val="2"/>
        </w:numPr>
        <w:kinsoku/>
        <w:wordWrap/>
        <w:overflowPunct/>
        <w:topLinePunct w:val="0"/>
        <w:autoSpaceDE/>
        <w:autoSpaceDN/>
        <w:bidi w:val="0"/>
        <w:adjustRightInd/>
        <w:snapToGrid/>
        <w:spacing w:beforeLines="0" w:line="590" w:lineRule="exact"/>
        <w:ind w:left="0" w:leftChars="0" w:firstLine="640" w:firstLineChars="200"/>
        <w:textAlignment w:val="auto"/>
        <w:rPr>
          <w:rFonts w:hint="eastAsia" w:ascii="Times New Roman" w:hAnsi="Times New Roman" w:eastAsia="仿宋_GB2312"/>
          <w:sz w:val="32"/>
          <w:lang w:eastAsia="zh-CN"/>
        </w:rPr>
      </w:pPr>
      <w:r>
        <w:rPr>
          <w:rFonts w:hint="eastAsia" w:ascii="黑体" w:hAnsi="黑体" w:eastAsia="黑体" w:cs="黑体"/>
          <w:sz w:val="32"/>
        </w:rPr>
        <w:t>【人员配备</w:t>
      </w:r>
      <w:r>
        <w:rPr>
          <w:rFonts w:hint="default" w:ascii="黑体" w:hAnsi="黑体" w:eastAsia="黑体" w:cs="黑体"/>
          <w:sz w:val="32"/>
          <w:lang w:val="en-US"/>
        </w:rPr>
        <w:t xml:space="preserve">】  </w:t>
      </w:r>
      <w:r>
        <w:rPr>
          <w:rFonts w:hint="eastAsia" w:ascii="Times New Roman" w:hAnsi="Times New Roman" w:eastAsia="仿宋_GB2312"/>
          <w:sz w:val="32"/>
        </w:rPr>
        <w:t>药品网络零售企业应当按规定配备与经营范围和品种相适应的依法经过资格认定的药师或者其他药学技术人员负责药品质量管理、处方审核和调配、合理用药指导以及不良反应信息收集与报告等工作，并在开展经营活</w:t>
      </w:r>
      <w:r>
        <w:rPr>
          <w:rFonts w:hint="eastAsia" w:ascii="Times New Roman" w:hAnsi="Times New Roman" w:eastAsia="仿宋_GB2312"/>
          <w:sz w:val="32"/>
          <w:lang w:eastAsia="zh-CN"/>
        </w:rPr>
        <w:t>动的</w:t>
      </w:r>
      <w:r>
        <w:rPr>
          <w:rFonts w:hint="eastAsia" w:ascii="Times New Roman" w:hAnsi="Times New Roman" w:eastAsia="仿宋_GB2312"/>
          <w:sz w:val="32"/>
        </w:rPr>
        <w:t>主页面显著位置持续公示上述人员的相关信息。</w:t>
      </w:r>
      <w:r>
        <w:rPr>
          <w:rFonts w:hint="eastAsia" w:ascii="仿宋_GB2312" w:hAnsi="仿宋_GB2312" w:eastAsia="仿宋_GB2312" w:cs="仿宋_GB2312"/>
          <w:sz w:val="32"/>
          <w:szCs w:val="32"/>
        </w:rPr>
        <w:t>依法经过资格认定的药师或者其他药学技术人员</w:t>
      </w:r>
      <w:r>
        <w:rPr>
          <w:rFonts w:hint="eastAsia" w:ascii="仿宋_GB2312" w:hAnsi="仿宋_GB2312" w:eastAsia="仿宋_GB2312" w:cs="仿宋_GB2312"/>
          <w:sz w:val="32"/>
          <w:szCs w:val="32"/>
          <w:lang w:eastAsia="zh-CN"/>
        </w:rPr>
        <w:t>的配备数量</w:t>
      </w:r>
      <w:r>
        <w:rPr>
          <w:rFonts w:hint="eastAsia" w:ascii="仿宋_GB2312" w:hAnsi="仿宋_GB2312" w:eastAsia="仿宋_GB2312" w:cs="仿宋_GB2312"/>
          <w:sz w:val="32"/>
          <w:szCs w:val="32"/>
        </w:rPr>
        <w:t>应当与经营规模相适应，</w:t>
      </w:r>
      <w:r>
        <w:rPr>
          <w:rFonts w:hint="eastAsia" w:ascii="仿宋_GB2312" w:hAnsi="仿宋_GB2312" w:eastAsia="仿宋_GB2312" w:cs="仿宋_GB2312"/>
          <w:sz w:val="32"/>
          <w:szCs w:val="32"/>
          <w:lang w:eastAsia="zh-CN"/>
        </w:rPr>
        <w:t>可以根据企业经营实际情况设置，比如可以根据每日处方审核工作量按比例配备，以确保能够满足在线药学服务的工作需要。</w:t>
      </w:r>
    </w:p>
    <w:p w14:paraId="40DD6BAD">
      <w:pPr>
        <w:keepNext w:val="0"/>
        <w:keepLines w:val="0"/>
        <w:pageBreakBefore w:val="0"/>
        <w:widowControl w:val="0"/>
        <w:numPr>
          <w:ilvl w:val="0"/>
          <w:numId w:val="2"/>
        </w:numPr>
        <w:kinsoku/>
        <w:wordWrap/>
        <w:overflowPunct/>
        <w:topLinePunct w:val="0"/>
        <w:autoSpaceDE/>
        <w:autoSpaceDN/>
        <w:bidi w:val="0"/>
        <w:adjustRightInd/>
        <w:snapToGrid/>
        <w:spacing w:beforeLines="0" w:line="590" w:lineRule="exact"/>
        <w:ind w:left="0" w:leftChars="0"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rPr>
        <w:t>【</w:t>
      </w:r>
      <w:r>
        <w:rPr>
          <w:rFonts w:hint="eastAsia" w:ascii="黑体" w:hAnsi="黑体" w:eastAsia="黑体" w:cs="黑体"/>
          <w:sz w:val="32"/>
        </w:rPr>
        <w:t>培训</w:t>
      </w:r>
      <w:r>
        <w:rPr>
          <w:rFonts w:hint="eastAsia" w:ascii="黑体" w:hAnsi="黑体" w:eastAsia="黑体" w:cs="黑体"/>
          <w:sz w:val="32"/>
          <w:lang w:eastAsia="zh-CN"/>
        </w:rPr>
        <w:t>管理</w:t>
      </w:r>
      <w:r>
        <w:rPr>
          <w:rFonts w:hint="default" w:ascii="Times New Roman" w:hAnsi="Times New Roman" w:eastAsia="仿宋_GB2312"/>
          <w:sz w:val="32"/>
          <w:lang w:val="en-US"/>
        </w:rPr>
        <w:t xml:space="preserve">】  </w:t>
      </w:r>
      <w:r>
        <w:rPr>
          <w:rFonts w:hint="eastAsia" w:ascii="Times New Roman" w:hAnsi="Times New Roman" w:eastAsia="仿宋_GB2312"/>
          <w:sz w:val="32"/>
        </w:rPr>
        <w:t>药品网络零售企业</w:t>
      </w:r>
      <w:r>
        <w:rPr>
          <w:rFonts w:hint="eastAsia" w:ascii="Times New Roman" w:hAnsi="Times New Roman" w:eastAsia="仿宋_GB2312"/>
          <w:sz w:val="32"/>
          <w:lang w:val="en-US" w:eastAsia="zh-CN"/>
        </w:rPr>
        <w:t>需要加强对</w:t>
      </w:r>
      <w:r>
        <w:rPr>
          <w:rFonts w:hint="eastAsia" w:ascii="Times New Roman" w:hAnsi="Times New Roman" w:eastAsia="仿宋_GB2312"/>
          <w:sz w:val="32"/>
        </w:rPr>
        <w:t>电商运维人员的管理，</w:t>
      </w:r>
      <w:r>
        <w:rPr>
          <w:rFonts w:hint="eastAsia" w:ascii="Times New Roman" w:hAnsi="Times New Roman" w:eastAsia="仿宋_GB2312"/>
          <w:sz w:val="32"/>
          <w:lang w:eastAsia="zh-CN"/>
        </w:rPr>
        <w:t>定期开展</w:t>
      </w:r>
      <w:r>
        <w:rPr>
          <w:rFonts w:hint="eastAsia" w:ascii="Times New Roman" w:hAnsi="Times New Roman" w:eastAsia="仿宋_GB2312"/>
          <w:sz w:val="32"/>
          <w:lang w:val="en-US" w:eastAsia="zh-CN"/>
        </w:rPr>
        <w:t>网络销售相关</w:t>
      </w:r>
      <w:r>
        <w:rPr>
          <w:rFonts w:hint="eastAsia" w:ascii="Times New Roman" w:hAnsi="Times New Roman" w:eastAsia="仿宋_GB2312"/>
          <w:sz w:val="32"/>
        </w:rPr>
        <w:t>法律、法规、规章、标准、规范和专业知识培训</w:t>
      </w:r>
      <w:r>
        <w:rPr>
          <w:rFonts w:hint="eastAsia" w:ascii="Times New Roman" w:hAnsi="Times New Roman" w:eastAsia="仿宋_GB2312"/>
          <w:sz w:val="32"/>
          <w:lang w:eastAsia="zh-CN"/>
        </w:rPr>
        <w:t>。对相关人员在</w:t>
      </w:r>
      <w:r>
        <w:rPr>
          <w:rFonts w:hint="eastAsia" w:ascii="Times New Roman" w:hAnsi="Times New Roman" w:eastAsia="仿宋_GB2312"/>
          <w:sz w:val="32"/>
        </w:rPr>
        <w:t>药品</w:t>
      </w:r>
      <w:r>
        <w:rPr>
          <w:rFonts w:hint="eastAsia" w:ascii="Times New Roman" w:hAnsi="Times New Roman" w:eastAsia="仿宋_GB2312"/>
          <w:sz w:val="32"/>
          <w:lang w:eastAsia="zh-CN"/>
        </w:rPr>
        <w:t>网络零售过程中发生的</w:t>
      </w:r>
      <w:r>
        <w:rPr>
          <w:rFonts w:hint="eastAsia" w:ascii="Times New Roman" w:hAnsi="Times New Roman" w:eastAsia="仿宋_GB2312"/>
          <w:sz w:val="32"/>
        </w:rPr>
        <w:t>行为</w:t>
      </w:r>
      <w:r>
        <w:rPr>
          <w:rFonts w:hint="eastAsia" w:ascii="Times New Roman" w:hAnsi="Times New Roman" w:eastAsia="仿宋_GB2312"/>
          <w:sz w:val="32"/>
          <w:lang w:eastAsia="zh-CN"/>
        </w:rPr>
        <w:t>，企业负有监督义务，依法</w:t>
      </w:r>
      <w:r>
        <w:rPr>
          <w:rFonts w:hint="eastAsia" w:ascii="Times New Roman" w:hAnsi="Times New Roman" w:eastAsia="仿宋_GB2312"/>
          <w:sz w:val="32"/>
        </w:rPr>
        <w:t>承担</w:t>
      </w:r>
      <w:r>
        <w:rPr>
          <w:rFonts w:hint="eastAsia" w:ascii="Times New Roman" w:hAnsi="Times New Roman" w:eastAsia="仿宋_GB2312"/>
          <w:sz w:val="32"/>
          <w:lang w:eastAsia="zh-CN"/>
        </w:rPr>
        <w:t>相应</w:t>
      </w:r>
      <w:r>
        <w:rPr>
          <w:rFonts w:hint="eastAsia" w:ascii="Times New Roman" w:hAnsi="Times New Roman" w:eastAsia="仿宋_GB2312"/>
          <w:sz w:val="32"/>
        </w:rPr>
        <w:t>法律责任。</w:t>
      </w:r>
    </w:p>
    <w:p w14:paraId="7DF41025">
      <w:pPr>
        <w:keepNext w:val="0"/>
        <w:keepLines w:val="0"/>
        <w:pageBreakBefore w:val="0"/>
        <w:widowControl w:val="0"/>
        <w:numPr>
          <w:ilvl w:val="0"/>
          <w:numId w:val="2"/>
        </w:numPr>
        <w:kinsoku/>
        <w:wordWrap/>
        <w:overflowPunct/>
        <w:topLinePunct w:val="0"/>
        <w:autoSpaceDE/>
        <w:autoSpaceDN/>
        <w:bidi w:val="0"/>
        <w:adjustRightInd/>
        <w:snapToGrid/>
        <w:spacing w:beforeLines="0" w:line="590" w:lineRule="exact"/>
        <w:ind w:left="0" w:leftChars="0"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rPr>
        <w:t>【</w:t>
      </w:r>
      <w:r>
        <w:rPr>
          <w:rFonts w:hint="eastAsia" w:ascii="黑体" w:hAnsi="黑体" w:eastAsia="黑体" w:cs="黑体"/>
          <w:sz w:val="32"/>
          <w:lang w:eastAsia="zh-CN"/>
        </w:rPr>
        <w:t>评估</w:t>
      </w:r>
      <w:r>
        <w:rPr>
          <w:rFonts w:hint="eastAsia" w:ascii="黑体" w:hAnsi="黑体" w:eastAsia="黑体" w:cs="黑体"/>
          <w:sz w:val="32"/>
        </w:rPr>
        <w:t>改进</w:t>
      </w:r>
      <w:r>
        <w:rPr>
          <w:rFonts w:hint="default" w:ascii="Times New Roman" w:hAnsi="Times New Roman" w:eastAsia="仿宋_GB2312"/>
          <w:sz w:val="32"/>
          <w:lang w:val="en-US"/>
        </w:rPr>
        <w:t xml:space="preserve">】  </w:t>
      </w:r>
      <w:r>
        <w:rPr>
          <w:rFonts w:hint="eastAsia" w:ascii="Times New Roman" w:hAnsi="Times New Roman" w:eastAsia="仿宋_GB2312"/>
          <w:sz w:val="32"/>
          <w:lang w:eastAsia="zh-CN"/>
        </w:rPr>
        <w:t>鼓励</w:t>
      </w:r>
      <w:r>
        <w:rPr>
          <w:rFonts w:hint="eastAsia" w:ascii="Times New Roman" w:hAnsi="Times New Roman" w:eastAsia="仿宋_GB2312"/>
          <w:sz w:val="32"/>
        </w:rPr>
        <w:t>药品网络零售企业</w:t>
      </w:r>
      <w:r>
        <w:rPr>
          <w:rFonts w:hint="eastAsia" w:ascii="Times New Roman" w:hAnsi="Times New Roman" w:eastAsia="仿宋_GB2312"/>
          <w:sz w:val="32"/>
          <w:lang w:eastAsia="zh-CN"/>
        </w:rPr>
        <w:t>定期</w:t>
      </w:r>
      <w:r>
        <w:rPr>
          <w:rFonts w:hint="eastAsia" w:ascii="Times New Roman" w:hAnsi="Times New Roman" w:eastAsia="仿宋_GB2312"/>
          <w:sz w:val="32"/>
        </w:rPr>
        <w:t>总结评估处方药网络</w:t>
      </w:r>
      <w:r>
        <w:rPr>
          <w:rFonts w:hint="eastAsia" w:ascii="Times New Roman" w:hAnsi="Times New Roman" w:eastAsia="仿宋_GB2312"/>
          <w:sz w:val="32"/>
          <w:lang w:val="en-US" w:eastAsia="zh-CN"/>
        </w:rPr>
        <w:t>零</w:t>
      </w:r>
      <w:r>
        <w:rPr>
          <w:rFonts w:hint="eastAsia" w:ascii="Times New Roman" w:hAnsi="Times New Roman" w:eastAsia="仿宋_GB2312"/>
          <w:sz w:val="32"/>
        </w:rPr>
        <w:t>售开展情况，针对发现的问题提出解决措施，并跟踪实施和持续改进。</w:t>
      </w:r>
    </w:p>
    <w:p w14:paraId="2B87CCAD">
      <w:pPr>
        <w:keepNext w:val="0"/>
        <w:keepLines w:val="0"/>
        <w:pageBreakBefore w:val="0"/>
        <w:widowControl w:val="0"/>
        <w:numPr>
          <w:ilvl w:val="0"/>
          <w:numId w:val="2"/>
        </w:numPr>
        <w:kinsoku/>
        <w:wordWrap/>
        <w:overflowPunct/>
        <w:topLinePunct w:val="0"/>
        <w:autoSpaceDE/>
        <w:autoSpaceDN/>
        <w:bidi w:val="0"/>
        <w:adjustRightInd/>
        <w:snapToGrid/>
        <w:spacing w:beforeLines="0" w:line="590" w:lineRule="exact"/>
        <w:ind w:left="0" w:leftChars="0" w:firstLine="640" w:firstLineChars="200"/>
        <w:textAlignment w:val="auto"/>
        <w:rPr>
          <w:rFonts w:hint="eastAsia" w:ascii="Times New Roman" w:hAnsi="Times New Roman" w:eastAsia="仿宋_GB2312"/>
          <w:sz w:val="32"/>
          <w:lang w:eastAsia="zh-CN"/>
        </w:rPr>
      </w:pPr>
      <w:r>
        <w:rPr>
          <w:rFonts w:hint="eastAsia" w:ascii="黑体" w:hAnsi="黑体" w:eastAsia="黑体" w:cs="黑体"/>
          <w:sz w:val="32"/>
        </w:rPr>
        <w:t>【自建网站</w:t>
      </w:r>
      <w:r>
        <w:rPr>
          <w:rFonts w:hint="default" w:ascii="黑体" w:hAnsi="黑体" w:eastAsia="黑体" w:cs="黑体"/>
          <w:sz w:val="32"/>
          <w:lang w:val="en-US"/>
        </w:rPr>
        <w:t xml:space="preserve">】  </w:t>
      </w:r>
      <w:r>
        <w:rPr>
          <w:rFonts w:hint="eastAsia" w:ascii="Times New Roman" w:hAnsi="Times New Roman" w:eastAsia="仿宋_GB2312"/>
          <w:sz w:val="32"/>
        </w:rPr>
        <w:t>药品网络零售企业通过</w:t>
      </w:r>
      <w:r>
        <w:rPr>
          <w:rFonts w:hint="eastAsia" w:ascii="Times New Roman" w:hAnsi="Times New Roman" w:eastAsia="仿宋_GB2312"/>
          <w:sz w:val="32"/>
          <w:lang w:val="en-US" w:eastAsia="zh-CN"/>
        </w:rPr>
        <w:t>自建</w:t>
      </w:r>
      <w:r>
        <w:rPr>
          <w:rFonts w:hint="eastAsia" w:ascii="Times New Roman" w:hAnsi="Times New Roman" w:eastAsia="仿宋_GB2312"/>
          <w:sz w:val="32"/>
        </w:rPr>
        <w:t>网站、应用程序等开展处方药网络零售的，</w:t>
      </w:r>
      <w:r>
        <w:rPr>
          <w:rFonts w:hint="eastAsia" w:ascii="Times New Roman" w:hAnsi="Times New Roman" w:eastAsia="仿宋_GB2312"/>
          <w:sz w:val="32"/>
          <w:lang w:val="en-US" w:eastAsia="zh-CN"/>
        </w:rPr>
        <w:t>应当</w:t>
      </w:r>
      <w:r>
        <w:rPr>
          <w:rFonts w:hint="eastAsia" w:ascii="Times New Roman" w:hAnsi="Times New Roman" w:eastAsia="仿宋_GB2312"/>
          <w:sz w:val="32"/>
          <w:lang w:eastAsia="zh-CN"/>
        </w:rPr>
        <w:t>按照要求</w:t>
      </w:r>
      <w:r>
        <w:rPr>
          <w:rFonts w:hint="eastAsia" w:ascii="Times New Roman" w:hAnsi="Times New Roman" w:eastAsia="仿宋_GB2312"/>
          <w:sz w:val="32"/>
        </w:rPr>
        <w:t>采取有效措施保证交易全过程信息真实、准确、完整和可追溯。</w:t>
      </w:r>
    </w:p>
    <w:p w14:paraId="478AB993">
      <w:pPr>
        <w:keepNext w:val="0"/>
        <w:keepLines w:val="0"/>
        <w:pageBreakBefore w:val="0"/>
        <w:widowControl w:val="0"/>
        <w:numPr>
          <w:ilvl w:val="0"/>
          <w:numId w:val="3"/>
        </w:numPr>
        <w:kinsoku/>
        <w:wordWrap/>
        <w:overflowPunct/>
        <w:topLinePunct w:val="0"/>
        <w:autoSpaceDE/>
        <w:autoSpaceDN/>
        <w:bidi w:val="0"/>
        <w:adjustRightInd/>
        <w:snapToGrid/>
        <w:spacing w:beforeLines="0" w:line="560" w:lineRule="exact"/>
        <w:ind w:left="0" w:leftChars="0" w:firstLine="0" w:firstLineChars="0"/>
        <w:jc w:val="center"/>
        <w:textAlignment w:val="auto"/>
        <w:outlineLvl w:val="0"/>
        <w:rPr>
          <w:rFonts w:hint="eastAsia" w:ascii="方正小标宋简体" w:hAnsi="方正小标宋简体" w:eastAsia="方正小标宋简体" w:cs="方正小标宋简体"/>
          <w:sz w:val="32"/>
          <w:lang w:eastAsia="zh-CN"/>
        </w:rPr>
      </w:pPr>
      <w:r>
        <w:rPr>
          <w:rFonts w:hint="eastAsia" w:ascii="方正小标宋简体" w:hAnsi="方正小标宋简体" w:eastAsia="方正小标宋简体" w:cs="方正小标宋简体"/>
          <w:sz w:val="32"/>
          <w:lang w:val="en-US" w:eastAsia="zh-CN"/>
        </w:rPr>
        <w:t xml:space="preserve"> </w:t>
      </w:r>
      <w:r>
        <w:rPr>
          <w:rFonts w:hint="eastAsia" w:ascii="方正小标宋简体" w:hAnsi="方正小标宋简体" w:eastAsia="方正小标宋简体" w:cs="方正小标宋简体"/>
          <w:sz w:val="32"/>
          <w:lang w:eastAsia="zh-CN"/>
        </w:rPr>
        <w:t>经营活动的合规要求</w:t>
      </w:r>
    </w:p>
    <w:p w14:paraId="1F7F43AE">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rPr>
        <w:t>【信息展示</w:t>
      </w:r>
      <w:r>
        <w:rPr>
          <w:rFonts w:hint="default" w:ascii="黑体" w:hAnsi="黑体" w:eastAsia="黑体" w:cs="黑体"/>
          <w:sz w:val="32"/>
          <w:lang w:val="en-US"/>
        </w:rPr>
        <w:t xml:space="preserve">】  </w:t>
      </w:r>
      <w:r>
        <w:rPr>
          <w:rFonts w:hint="eastAsia" w:ascii="Times New Roman" w:hAnsi="Times New Roman" w:eastAsia="仿宋_GB2312"/>
          <w:sz w:val="32"/>
          <w:lang w:eastAsia="zh-CN"/>
        </w:rPr>
        <w:t>药品网络零售企业</w:t>
      </w:r>
      <w:r>
        <w:rPr>
          <w:rFonts w:hint="eastAsia" w:ascii="Times New Roman" w:hAnsi="Times New Roman" w:eastAsia="仿宋_GB2312"/>
          <w:sz w:val="32"/>
          <w:lang w:val="en-US" w:eastAsia="zh-CN"/>
        </w:rPr>
        <w:t>应当</w:t>
      </w:r>
      <w:r>
        <w:rPr>
          <w:rFonts w:hint="eastAsia" w:ascii="Times New Roman" w:hAnsi="Times New Roman" w:eastAsia="仿宋_GB2312"/>
          <w:sz w:val="32"/>
          <w:lang w:eastAsia="zh-CN"/>
        </w:rPr>
        <w:t>确保</w:t>
      </w:r>
      <w:r>
        <w:rPr>
          <w:rFonts w:hint="eastAsia" w:ascii="Times New Roman" w:hAnsi="Times New Roman" w:eastAsia="仿宋_GB2312"/>
          <w:sz w:val="32"/>
        </w:rPr>
        <w:t>展示的药品信息真实、准确、合法，以国务院药品监督管理部门核准的药品说明书为准，</w:t>
      </w:r>
      <w:r>
        <w:rPr>
          <w:rFonts w:hint="eastAsia" w:ascii="Times New Roman" w:hAnsi="Times New Roman" w:eastAsia="仿宋_GB2312"/>
          <w:sz w:val="32"/>
          <w:lang w:val="en-US" w:eastAsia="zh-CN"/>
        </w:rPr>
        <w:t>不得含有虚假的内容</w:t>
      </w:r>
      <w:r>
        <w:rPr>
          <w:rFonts w:hint="eastAsia" w:ascii="Times New Roman" w:hAnsi="Times New Roman" w:eastAsia="仿宋_GB2312"/>
          <w:sz w:val="32"/>
        </w:rPr>
        <w:t>。</w:t>
      </w:r>
      <w:r>
        <w:rPr>
          <w:rFonts w:hint="eastAsia" w:ascii="仿宋_GB2312" w:hAnsi="仿宋_GB2312" w:eastAsia="仿宋_GB2312" w:cs="仿宋_GB2312"/>
          <w:sz w:val="32"/>
          <w:szCs w:val="32"/>
          <w:lang w:eastAsia="zh-CN"/>
        </w:rPr>
        <w:t>企业按照以下标准检查评估</w:t>
      </w:r>
      <w:r>
        <w:rPr>
          <w:rFonts w:hint="eastAsia" w:ascii="仿宋_GB2312" w:hAnsi="仿宋_GB2312" w:eastAsia="仿宋_GB2312" w:cs="仿宋_GB2312"/>
          <w:sz w:val="32"/>
          <w:szCs w:val="32"/>
        </w:rPr>
        <w:t>处方药的信息展示</w:t>
      </w:r>
      <w:r>
        <w:rPr>
          <w:rFonts w:hint="eastAsia" w:ascii="仿宋_GB2312" w:hAnsi="仿宋_GB2312" w:eastAsia="仿宋_GB2312" w:cs="仿宋_GB2312"/>
          <w:sz w:val="32"/>
          <w:szCs w:val="32"/>
          <w:lang w:eastAsia="zh-CN"/>
        </w:rPr>
        <w:t>是否符合</w:t>
      </w:r>
      <w:r>
        <w:rPr>
          <w:rFonts w:hint="eastAsia" w:ascii="仿宋_GB2312" w:hAnsi="仿宋_GB2312" w:eastAsia="仿宋_GB2312" w:cs="仿宋_GB2312"/>
          <w:sz w:val="32"/>
          <w:szCs w:val="32"/>
        </w:rPr>
        <w:t>要求：</w:t>
      </w:r>
    </w:p>
    <w:p w14:paraId="4ABB368C">
      <w:pPr>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lang w:eastAsia="zh-CN"/>
        </w:rPr>
        <w:t>（一）</w:t>
      </w:r>
      <w:r>
        <w:rPr>
          <w:rFonts w:hint="eastAsia" w:ascii="Times New Roman" w:hAnsi="Times New Roman" w:eastAsia="仿宋_GB2312"/>
          <w:sz w:val="32"/>
        </w:rPr>
        <w:t>每个处方药展示页面下，突出显示“处方药须凭处方在药师指导下购买和使用”等风险警示信息</w:t>
      </w:r>
      <w:r>
        <w:rPr>
          <w:rFonts w:hint="eastAsia" w:ascii="Times New Roman" w:hAnsi="Times New Roman" w:eastAsia="仿宋_GB2312"/>
          <w:sz w:val="32"/>
          <w:lang w:eastAsia="zh-CN"/>
        </w:rPr>
        <w:t>，比如可以使用具有识别性的颜色和大号字体的文本进行提示</w:t>
      </w:r>
      <w:r>
        <w:rPr>
          <w:rFonts w:hint="eastAsia" w:ascii="Times New Roman" w:hAnsi="Times New Roman" w:eastAsia="仿宋_GB2312"/>
          <w:sz w:val="32"/>
        </w:rPr>
        <w:t>；</w:t>
      </w:r>
    </w:p>
    <w:p w14:paraId="10B52806">
      <w:pPr>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lang w:eastAsia="zh-CN"/>
        </w:rPr>
        <w:t>（二）在</w:t>
      </w:r>
      <w:r>
        <w:rPr>
          <w:rFonts w:hint="eastAsia" w:ascii="Times New Roman" w:hAnsi="Times New Roman" w:eastAsia="仿宋_GB2312"/>
          <w:sz w:val="32"/>
        </w:rPr>
        <w:t>商品类目列表中对处方药、非处方药进行</w:t>
      </w:r>
      <w:r>
        <w:rPr>
          <w:rFonts w:hint="eastAsia" w:ascii="Times New Roman" w:hAnsi="Times New Roman" w:eastAsia="仿宋_GB2312"/>
          <w:sz w:val="32"/>
          <w:lang w:eastAsia="zh-CN"/>
        </w:rPr>
        <w:t>区分</w:t>
      </w:r>
      <w:r>
        <w:rPr>
          <w:rFonts w:hint="eastAsia" w:ascii="Times New Roman" w:hAnsi="Times New Roman" w:eastAsia="仿宋_GB2312"/>
          <w:sz w:val="32"/>
        </w:rPr>
        <w:t>陈列，在每个药品销售页面上使用处方药或非处方药的专用标识进行显著区分</w:t>
      </w:r>
      <w:r>
        <w:rPr>
          <w:rFonts w:hint="eastAsia" w:ascii="Times New Roman" w:hAnsi="Times New Roman" w:eastAsia="仿宋_GB2312"/>
          <w:sz w:val="32"/>
          <w:lang w:eastAsia="zh-CN"/>
        </w:rPr>
        <w:t>，比如可以使用“处方药”“</w:t>
      </w:r>
      <w:r>
        <w:rPr>
          <w:rFonts w:hint="eastAsia" w:ascii="Times New Roman" w:hAnsi="Times New Roman" w:eastAsia="仿宋_GB2312"/>
          <w:sz w:val="32"/>
          <w:lang w:val="en-US" w:eastAsia="zh-CN"/>
        </w:rPr>
        <w:t>Rx</w:t>
      </w:r>
      <w:r>
        <w:rPr>
          <w:rFonts w:hint="eastAsia" w:ascii="Times New Roman" w:hAnsi="Times New Roman" w:eastAsia="仿宋_GB2312"/>
          <w:sz w:val="32"/>
          <w:lang w:eastAsia="zh-CN"/>
        </w:rPr>
        <w:t>”标识和“非处方药”“</w:t>
      </w:r>
      <w:r>
        <w:rPr>
          <w:rFonts w:hint="eastAsia" w:ascii="Times New Roman" w:hAnsi="Times New Roman" w:eastAsia="仿宋_GB2312"/>
          <w:sz w:val="32"/>
          <w:lang w:val="en-US" w:eastAsia="zh-CN"/>
        </w:rPr>
        <w:t>OTC</w:t>
      </w:r>
      <w:r>
        <w:rPr>
          <w:rFonts w:hint="eastAsia" w:ascii="Times New Roman" w:hAnsi="Times New Roman" w:eastAsia="仿宋_GB2312"/>
          <w:sz w:val="32"/>
          <w:lang w:eastAsia="zh-CN"/>
        </w:rPr>
        <w:t>”标识进行区分</w:t>
      </w:r>
      <w:r>
        <w:rPr>
          <w:rFonts w:hint="eastAsia" w:ascii="Times New Roman" w:hAnsi="Times New Roman" w:eastAsia="仿宋_GB2312"/>
          <w:sz w:val="32"/>
        </w:rPr>
        <w:t>；</w:t>
      </w:r>
    </w:p>
    <w:p w14:paraId="2A4B1326">
      <w:pPr>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lang w:eastAsia="zh-CN"/>
        </w:rPr>
        <w:t>（三）</w:t>
      </w:r>
      <w:r>
        <w:rPr>
          <w:rFonts w:hint="eastAsia" w:ascii="Times New Roman" w:hAnsi="Times New Roman" w:eastAsia="仿宋_GB2312"/>
          <w:sz w:val="32"/>
        </w:rPr>
        <w:t>药品网络</w:t>
      </w:r>
      <w:r>
        <w:rPr>
          <w:rFonts w:hint="eastAsia" w:ascii="Times New Roman" w:hAnsi="Times New Roman" w:eastAsia="仿宋_GB2312"/>
          <w:sz w:val="32"/>
          <w:lang w:val="en-US" w:eastAsia="zh-CN"/>
        </w:rPr>
        <w:t>零</w:t>
      </w:r>
      <w:r>
        <w:rPr>
          <w:rFonts w:hint="eastAsia" w:ascii="Times New Roman" w:hAnsi="Times New Roman" w:eastAsia="仿宋_GB2312"/>
          <w:sz w:val="32"/>
        </w:rPr>
        <w:t>售平台/网站（含应用程序）首页、医药健康行业板块首页、平台商家店铺主页</w:t>
      </w:r>
      <w:r>
        <w:rPr>
          <w:rFonts w:hint="eastAsia" w:ascii="Times New Roman" w:hAnsi="Times New Roman" w:eastAsia="仿宋_GB2312"/>
          <w:sz w:val="32"/>
          <w:lang w:eastAsia="zh-CN"/>
        </w:rPr>
        <w:t>不得展示</w:t>
      </w:r>
      <w:r>
        <w:rPr>
          <w:rFonts w:hint="eastAsia" w:ascii="Times New Roman" w:hAnsi="Times New Roman" w:eastAsia="仿宋_GB2312"/>
          <w:sz w:val="32"/>
        </w:rPr>
        <w:t>处方药包装、标签等信息；</w:t>
      </w:r>
    </w:p>
    <w:p w14:paraId="22D4E1FA">
      <w:pPr>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lang w:eastAsia="zh-CN"/>
        </w:rPr>
        <w:t>（四）</w:t>
      </w:r>
      <w:r>
        <w:rPr>
          <w:rFonts w:hint="eastAsia" w:ascii="Times New Roman" w:hAnsi="Times New Roman" w:eastAsia="仿宋_GB2312"/>
          <w:sz w:val="32"/>
        </w:rPr>
        <w:t>通过处方审核前，不得展示或提供药品说明书，页面中不得含有功能主治、适应症、用法用量等信息；</w:t>
      </w:r>
    </w:p>
    <w:p w14:paraId="5B21FE0F">
      <w:pPr>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lang w:eastAsia="zh-CN"/>
        </w:rPr>
        <w:t>（五）避免</w:t>
      </w:r>
      <w:r>
        <w:rPr>
          <w:rFonts w:hint="eastAsia" w:ascii="Times New Roman" w:hAnsi="Times New Roman" w:eastAsia="仿宋_GB2312"/>
          <w:sz w:val="32"/>
        </w:rPr>
        <w:t>通过图文、短视频、直播营销等方式在</w:t>
      </w:r>
      <w:r>
        <w:rPr>
          <w:rFonts w:hint="eastAsia" w:ascii="Times New Roman" w:hAnsi="Times New Roman" w:eastAsia="仿宋_GB2312"/>
          <w:sz w:val="32"/>
          <w:lang w:val="en-US" w:eastAsia="zh-CN"/>
        </w:rPr>
        <w:t>网络</w:t>
      </w:r>
      <w:r>
        <w:rPr>
          <w:rFonts w:hint="eastAsia" w:ascii="Times New Roman" w:hAnsi="Times New Roman" w:eastAsia="仿宋_GB2312"/>
          <w:sz w:val="32"/>
        </w:rPr>
        <w:t>上</w:t>
      </w:r>
      <w:r>
        <w:rPr>
          <w:rFonts w:hint="eastAsia" w:ascii="Times New Roman" w:hAnsi="Times New Roman" w:eastAsia="仿宋_GB2312"/>
          <w:sz w:val="32"/>
          <w:lang w:eastAsia="zh-CN"/>
        </w:rPr>
        <w:t>违规</w:t>
      </w:r>
      <w:r>
        <w:rPr>
          <w:rFonts w:hint="eastAsia" w:ascii="Times New Roman" w:hAnsi="Times New Roman" w:eastAsia="仿宋_GB2312"/>
          <w:sz w:val="32"/>
        </w:rPr>
        <w:t>发布处方药</w:t>
      </w:r>
      <w:r>
        <w:rPr>
          <w:rFonts w:hint="eastAsia" w:ascii="Times New Roman" w:hAnsi="Times New Roman" w:eastAsia="仿宋_GB2312"/>
          <w:sz w:val="32"/>
          <w:lang w:val="en-US" w:eastAsia="zh-CN"/>
        </w:rPr>
        <w:t>信息</w:t>
      </w:r>
      <w:r>
        <w:rPr>
          <w:rFonts w:hint="eastAsia" w:ascii="Times New Roman" w:hAnsi="Times New Roman" w:eastAsia="仿宋_GB2312"/>
          <w:sz w:val="32"/>
          <w:lang w:eastAsia="zh-CN"/>
        </w:rPr>
        <w:t>；</w:t>
      </w:r>
    </w:p>
    <w:p w14:paraId="4BCD1DD7">
      <w:pPr>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ind w:left="0" w:leftChars="0" w:firstLine="640" w:firstLineChars="200"/>
        <w:textAlignment w:val="auto"/>
        <w:rPr>
          <w:rFonts w:hint="default" w:ascii="Times New Roman" w:hAnsi="Times New Roman" w:eastAsia="宋体"/>
          <w:sz w:val="32"/>
          <w:lang w:val="en-US" w:eastAsia="zh-CN"/>
        </w:rPr>
      </w:pPr>
      <w:r>
        <w:rPr>
          <w:rFonts w:hint="eastAsia" w:ascii="Times New Roman" w:hAnsi="Times New Roman" w:eastAsia="仿宋_GB2312"/>
          <w:sz w:val="32"/>
          <w:lang w:eastAsia="zh-CN"/>
        </w:rPr>
        <w:t>（六）</w:t>
      </w:r>
      <w:r>
        <w:rPr>
          <w:rFonts w:hint="eastAsia" w:ascii="Times New Roman" w:hAnsi="Times New Roman" w:eastAsia="仿宋_GB2312"/>
          <w:sz w:val="32"/>
          <w:shd w:val="clear" w:color="auto" w:fill="auto"/>
          <w:lang w:eastAsia="zh-CN"/>
        </w:rPr>
        <w:t>法律、法规、规章、规范性文件禁止展示的</w:t>
      </w:r>
      <w:r>
        <w:rPr>
          <w:rFonts w:hint="eastAsia" w:ascii="Times New Roman" w:hAnsi="Times New Roman" w:eastAsia="仿宋_GB2312"/>
          <w:sz w:val="32"/>
          <w:shd w:val="clear" w:color="auto" w:fill="auto"/>
        </w:rPr>
        <w:t>信息</w:t>
      </w:r>
      <w:r>
        <w:rPr>
          <w:rFonts w:hint="eastAsia" w:ascii="Times New Roman" w:hAnsi="Times New Roman" w:eastAsia="仿宋_GB2312"/>
          <w:sz w:val="32"/>
          <w:shd w:val="clear" w:color="auto" w:fill="auto"/>
          <w:lang w:eastAsia="zh-CN"/>
        </w:rPr>
        <w:t>不得展示。</w:t>
      </w:r>
    </w:p>
    <w:p w14:paraId="672E7456">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仿宋_GB2312" w:hAnsi="仿宋_GB2312" w:eastAsia="仿宋_GB2312" w:cs="仿宋_GB2312"/>
          <w:sz w:val="32"/>
        </w:rPr>
      </w:pPr>
      <w:r>
        <w:rPr>
          <w:rFonts w:hint="eastAsia" w:ascii="黑体" w:hAnsi="黑体" w:eastAsia="黑体" w:cs="黑体"/>
          <w:sz w:val="32"/>
        </w:rPr>
        <w:t>【商品信息发布规范</w:t>
      </w:r>
      <w:r>
        <w:rPr>
          <w:rFonts w:hint="default" w:ascii="黑体" w:hAnsi="黑体" w:eastAsia="黑体" w:cs="黑体"/>
          <w:sz w:val="32"/>
          <w:lang w:val="en-US"/>
        </w:rPr>
        <w:t xml:space="preserve">】  </w:t>
      </w:r>
      <w:r>
        <w:rPr>
          <w:rFonts w:hint="eastAsia" w:ascii="仿宋_GB2312" w:hAnsi="仿宋_GB2312" w:eastAsia="仿宋_GB2312" w:cs="仿宋_GB2312"/>
          <w:sz w:val="32"/>
        </w:rPr>
        <w:t>处方药</w:t>
      </w:r>
      <w:r>
        <w:rPr>
          <w:rFonts w:hint="eastAsia" w:ascii="仿宋_GB2312" w:hAnsi="仿宋_GB2312" w:eastAsia="仿宋_GB2312" w:cs="仿宋_GB2312"/>
          <w:sz w:val="32"/>
          <w:lang w:val="en-US" w:eastAsia="zh-CN"/>
        </w:rPr>
        <w:t>网络零售页面的产品</w:t>
      </w:r>
      <w:r>
        <w:rPr>
          <w:rFonts w:hint="eastAsia" w:ascii="仿宋_GB2312" w:hAnsi="仿宋_GB2312" w:eastAsia="仿宋_GB2312" w:cs="仿宋_GB2312"/>
          <w:sz w:val="32"/>
        </w:rPr>
        <w:t>标题</w:t>
      </w:r>
      <w:r>
        <w:rPr>
          <w:rFonts w:hint="eastAsia" w:ascii="仿宋_GB2312" w:hAnsi="仿宋_GB2312" w:eastAsia="仿宋_GB2312" w:cs="仿宋_GB2312"/>
          <w:sz w:val="32"/>
          <w:lang w:eastAsia="zh-CN"/>
        </w:rPr>
        <w:t>可以</w:t>
      </w:r>
      <w:r>
        <w:rPr>
          <w:rFonts w:hint="eastAsia" w:ascii="仿宋_GB2312" w:hAnsi="仿宋_GB2312" w:eastAsia="仿宋_GB2312" w:cs="仿宋_GB2312"/>
          <w:sz w:val="32"/>
        </w:rPr>
        <w:t>按照“商品名称（如有）+</w:t>
      </w:r>
      <w:r>
        <w:rPr>
          <w:rFonts w:hint="eastAsia" w:ascii="仿宋_GB2312" w:hAnsi="仿宋_GB2312" w:eastAsia="仿宋_GB2312" w:cs="仿宋_GB2312"/>
          <w:sz w:val="32"/>
          <w:lang w:eastAsia="zh-CN"/>
        </w:rPr>
        <w:t>药品通用</w:t>
      </w:r>
      <w:r>
        <w:rPr>
          <w:rFonts w:hint="eastAsia" w:ascii="仿宋_GB2312" w:hAnsi="仿宋_GB2312" w:eastAsia="仿宋_GB2312" w:cs="仿宋_GB2312"/>
          <w:sz w:val="32"/>
        </w:rPr>
        <w:t>名称+规格参数”的格式</w:t>
      </w:r>
      <w:r>
        <w:rPr>
          <w:rFonts w:hint="eastAsia" w:ascii="仿宋_GB2312" w:hAnsi="仿宋_GB2312" w:eastAsia="仿宋_GB2312" w:cs="仿宋_GB2312"/>
          <w:sz w:val="32"/>
          <w:lang w:eastAsia="zh-CN"/>
        </w:rPr>
        <w:t>进行展示。鼓励企业在</w:t>
      </w:r>
      <w:r>
        <w:rPr>
          <w:rFonts w:hint="eastAsia" w:ascii="仿宋_GB2312" w:hAnsi="仿宋_GB2312" w:eastAsia="仿宋_GB2312" w:cs="仿宋_GB2312"/>
          <w:sz w:val="32"/>
        </w:rPr>
        <w:t>商品详情页面中以文本形式展示药品批准文号、上市许可持有人等信息。</w:t>
      </w:r>
    </w:p>
    <w:p w14:paraId="0CC54661">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黑体" w:hAnsi="黑体" w:eastAsia="黑体" w:cs="黑体"/>
          <w:sz w:val="32"/>
        </w:rPr>
      </w:pPr>
      <w:r>
        <w:rPr>
          <w:rFonts w:hint="eastAsia" w:ascii="黑体" w:hAnsi="黑体" w:eastAsia="黑体" w:cs="黑体"/>
          <w:sz w:val="32"/>
        </w:rPr>
        <w:t>【商品图片发布规范</w:t>
      </w:r>
      <w:r>
        <w:rPr>
          <w:rFonts w:hint="default" w:ascii="黑体" w:hAnsi="黑体" w:eastAsia="黑体" w:cs="黑体"/>
          <w:sz w:val="32"/>
          <w:lang w:val="en-US"/>
        </w:rPr>
        <w:t xml:space="preserve">】  </w:t>
      </w:r>
      <w:r>
        <w:rPr>
          <w:rFonts w:hint="eastAsia" w:ascii="仿宋_GB2312" w:hAnsi="仿宋_GB2312" w:eastAsia="仿宋_GB2312" w:cs="仿宋_GB2312"/>
          <w:sz w:val="32"/>
        </w:rPr>
        <w:t>药品网络</w:t>
      </w:r>
      <w:r>
        <w:rPr>
          <w:rFonts w:hint="eastAsia" w:ascii="仿宋_GB2312" w:hAnsi="仿宋_GB2312" w:eastAsia="仿宋_GB2312" w:cs="仿宋_GB2312"/>
          <w:sz w:val="32"/>
          <w:lang w:eastAsia="zh-CN"/>
        </w:rPr>
        <w:t>零</w:t>
      </w:r>
      <w:r>
        <w:rPr>
          <w:rFonts w:hint="eastAsia" w:ascii="仿宋_GB2312" w:hAnsi="仿宋_GB2312" w:eastAsia="仿宋_GB2312" w:cs="仿宋_GB2312"/>
          <w:sz w:val="32"/>
        </w:rPr>
        <w:t>售企业在展示处方药</w:t>
      </w:r>
      <w:r>
        <w:rPr>
          <w:rFonts w:hint="eastAsia" w:ascii="仿宋_GB2312" w:hAnsi="仿宋_GB2312" w:eastAsia="仿宋_GB2312" w:cs="仿宋_GB2312"/>
          <w:sz w:val="32"/>
          <w:lang w:eastAsia="zh-CN"/>
        </w:rPr>
        <w:t>产品本身相关的</w:t>
      </w:r>
      <w:r>
        <w:rPr>
          <w:rFonts w:hint="eastAsia" w:ascii="仿宋_GB2312" w:hAnsi="仿宋_GB2312" w:eastAsia="仿宋_GB2312" w:cs="仿宋_GB2312"/>
          <w:sz w:val="32"/>
        </w:rPr>
        <w:t>图片</w:t>
      </w:r>
      <w:r>
        <w:rPr>
          <w:rFonts w:hint="eastAsia" w:ascii="仿宋_GB2312" w:hAnsi="仿宋_GB2312" w:eastAsia="仿宋_GB2312" w:cs="仿宋_GB2312"/>
          <w:sz w:val="32"/>
          <w:lang w:val="en-US" w:eastAsia="zh-CN"/>
        </w:rPr>
        <w:t>时</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比</w:t>
      </w:r>
      <w:r>
        <w:rPr>
          <w:rFonts w:hint="eastAsia" w:ascii="仿宋_GB2312" w:hAnsi="仿宋_GB2312" w:eastAsia="仿宋_GB2312" w:cs="仿宋_GB2312"/>
          <w:sz w:val="32"/>
        </w:rPr>
        <w:t>如实物拍摄图、包装内容物图、产品注册批件图等</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图片中</w:t>
      </w:r>
      <w:r>
        <w:rPr>
          <w:rFonts w:hint="eastAsia" w:ascii="仿宋_GB2312" w:hAnsi="仿宋_GB2312" w:eastAsia="仿宋_GB2312" w:cs="仿宋_GB2312"/>
          <w:sz w:val="32"/>
          <w:lang w:eastAsia="zh-CN"/>
        </w:rPr>
        <w:t>如涉及</w:t>
      </w:r>
      <w:r>
        <w:rPr>
          <w:rFonts w:hint="eastAsia" w:ascii="仿宋_GB2312" w:hAnsi="仿宋_GB2312" w:eastAsia="仿宋_GB2312" w:cs="仿宋_GB2312"/>
          <w:sz w:val="32"/>
        </w:rPr>
        <w:t>功能主治、适应症、用法用量等信息</w:t>
      </w:r>
      <w:r>
        <w:rPr>
          <w:rFonts w:hint="eastAsia" w:ascii="仿宋_GB2312" w:hAnsi="仿宋_GB2312" w:eastAsia="仿宋_GB2312" w:cs="仿宋_GB2312"/>
          <w:sz w:val="32"/>
          <w:lang w:eastAsia="zh-CN"/>
        </w:rPr>
        <w:t>，在确保真实性的前提下应当对图片进行适当处理。鼓励企业在处方药相关图片中</w:t>
      </w:r>
      <w:r>
        <w:rPr>
          <w:rFonts w:hint="eastAsia" w:ascii="仿宋_GB2312" w:hAnsi="仿宋_GB2312" w:eastAsia="仿宋_GB2312" w:cs="仿宋_GB2312"/>
          <w:sz w:val="32"/>
        </w:rPr>
        <w:t>添加相关警示用语，</w:t>
      </w:r>
      <w:r>
        <w:rPr>
          <w:rFonts w:hint="eastAsia" w:ascii="仿宋_GB2312" w:hAnsi="仿宋_GB2312" w:eastAsia="仿宋_GB2312" w:cs="仿宋_GB2312"/>
          <w:sz w:val="32"/>
          <w:lang w:eastAsia="zh-CN"/>
        </w:rPr>
        <w:t>避免发布</w:t>
      </w:r>
      <w:r>
        <w:rPr>
          <w:rFonts w:hint="eastAsia" w:ascii="仿宋_GB2312" w:hAnsi="仿宋_GB2312" w:eastAsia="仿宋_GB2312" w:cs="仿宋_GB2312"/>
          <w:sz w:val="32"/>
        </w:rPr>
        <w:t>含有促销、推广、广告</w:t>
      </w:r>
      <w:r>
        <w:rPr>
          <w:rFonts w:hint="eastAsia" w:ascii="仿宋_GB2312" w:hAnsi="仿宋_GB2312" w:eastAsia="仿宋_GB2312" w:cs="仿宋_GB2312"/>
          <w:sz w:val="32"/>
          <w:lang w:val="en-US" w:eastAsia="zh-CN"/>
        </w:rPr>
        <w:t>等</w:t>
      </w:r>
      <w:r>
        <w:rPr>
          <w:rFonts w:hint="eastAsia" w:ascii="仿宋_GB2312" w:hAnsi="仿宋_GB2312" w:eastAsia="仿宋_GB2312" w:cs="仿宋_GB2312"/>
          <w:sz w:val="32"/>
        </w:rPr>
        <w:t>信息。</w:t>
      </w:r>
    </w:p>
    <w:p w14:paraId="311AFA7E">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黑体" w:hAnsi="黑体" w:eastAsia="黑体" w:cs="黑体"/>
          <w:sz w:val="32"/>
        </w:rPr>
      </w:pPr>
      <w:r>
        <w:rPr>
          <w:rFonts w:hint="eastAsia" w:ascii="黑体" w:hAnsi="黑体" w:eastAsia="黑体" w:cs="黑体"/>
          <w:sz w:val="32"/>
        </w:rPr>
        <w:t>【风险警示</w:t>
      </w:r>
      <w:r>
        <w:rPr>
          <w:rFonts w:hint="default" w:ascii="黑体" w:hAnsi="黑体" w:eastAsia="黑体" w:cs="黑体"/>
          <w:sz w:val="32"/>
          <w:lang w:val="en-US"/>
        </w:rPr>
        <w:t xml:space="preserve">】  </w:t>
      </w:r>
      <w:r>
        <w:rPr>
          <w:rFonts w:hint="eastAsia" w:ascii="仿宋_GB2312" w:hAnsi="仿宋_GB2312" w:eastAsia="仿宋_GB2312" w:cs="仿宋_GB2312"/>
          <w:sz w:val="32"/>
        </w:rPr>
        <w:t>处方药销售前，药品网络零售企业应当向消费者充分告知相关风险警示信息，并经消费者确认知情</w:t>
      </w:r>
      <w:r>
        <w:rPr>
          <w:rFonts w:hint="eastAsia" w:ascii="仿宋_GB2312" w:hAnsi="仿宋_GB2312" w:eastAsia="仿宋_GB2312" w:cs="仿宋_GB2312"/>
          <w:sz w:val="32"/>
          <w:lang w:eastAsia="zh-CN"/>
        </w:rPr>
        <w:t>。比如可以在咨询页面或订单页面通过红字提示、弹窗提示、风险告知书、知情同意书等形式进行确认</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企业</w:t>
      </w:r>
      <w:r>
        <w:rPr>
          <w:rFonts w:hint="eastAsia" w:ascii="仿宋_GB2312" w:hAnsi="仿宋_GB2312" w:eastAsia="仿宋_GB2312" w:cs="仿宋_GB2312"/>
          <w:sz w:val="32"/>
        </w:rPr>
        <w:t>销售近效期药品应当向顾客告知有效期</w:t>
      </w:r>
      <w:r>
        <w:rPr>
          <w:rFonts w:hint="eastAsia" w:ascii="仿宋_GB2312" w:hAnsi="仿宋_GB2312" w:eastAsia="仿宋_GB2312" w:cs="仿宋_GB2312"/>
          <w:sz w:val="32"/>
          <w:lang w:eastAsia="zh-CN"/>
        </w:rPr>
        <w:t>，建议在</w:t>
      </w:r>
      <w:r>
        <w:rPr>
          <w:rFonts w:hint="eastAsia" w:ascii="Times New Roman" w:hAnsi="Times New Roman" w:eastAsia="仿宋_GB2312"/>
          <w:sz w:val="32"/>
          <w:lang w:eastAsia="zh-CN"/>
        </w:rPr>
        <w:t>药品有</w:t>
      </w:r>
      <w:r>
        <w:rPr>
          <w:rFonts w:hint="default" w:ascii="Times New Roman" w:hAnsi="Times New Roman" w:eastAsia="仿宋_GB2312"/>
          <w:sz w:val="32"/>
        </w:rPr>
        <w:t>效期</w:t>
      </w:r>
      <w:r>
        <w:rPr>
          <w:rFonts w:hint="eastAsia" w:ascii="Times New Roman" w:hAnsi="Times New Roman" w:eastAsia="仿宋_GB2312"/>
          <w:sz w:val="32"/>
          <w:lang w:eastAsia="zh-CN"/>
        </w:rPr>
        <w:t>不足</w:t>
      </w:r>
      <w:r>
        <w:rPr>
          <w:rFonts w:hint="eastAsia" w:ascii="Times New Roman" w:hAnsi="Times New Roman" w:eastAsia="仿宋_GB2312"/>
          <w:sz w:val="32"/>
          <w:lang w:val="en-US" w:eastAsia="zh-CN"/>
        </w:rPr>
        <w:t>6个月时，</w:t>
      </w:r>
      <w:r>
        <w:rPr>
          <w:rFonts w:hint="default" w:ascii="Times New Roman" w:hAnsi="Times New Roman" w:eastAsia="仿宋_GB2312"/>
          <w:sz w:val="32"/>
        </w:rPr>
        <w:t>向</w:t>
      </w:r>
      <w:r>
        <w:rPr>
          <w:rFonts w:hint="eastAsia" w:ascii="Times New Roman" w:hAnsi="Times New Roman" w:eastAsia="仿宋_GB2312"/>
          <w:sz w:val="32"/>
          <w:lang w:val="en-US" w:eastAsia="zh-CN"/>
        </w:rPr>
        <w:t>消费者提前</w:t>
      </w:r>
      <w:r>
        <w:rPr>
          <w:rFonts w:hint="default" w:ascii="Times New Roman" w:hAnsi="Times New Roman" w:eastAsia="仿宋_GB2312"/>
          <w:sz w:val="32"/>
        </w:rPr>
        <w:t>告知</w:t>
      </w:r>
      <w:r>
        <w:rPr>
          <w:rFonts w:hint="eastAsia" w:ascii="Times New Roman" w:hAnsi="Times New Roman" w:eastAsia="仿宋_GB2312"/>
          <w:sz w:val="32"/>
          <w:lang w:eastAsia="zh-CN"/>
        </w:rPr>
        <w:t>，避免出现投诉、退货风险</w:t>
      </w:r>
      <w:r>
        <w:rPr>
          <w:rFonts w:hint="default" w:ascii="Times New Roman" w:hAnsi="Times New Roman" w:eastAsia="仿宋_GB2312" w:cs="Times New Roman"/>
          <w:sz w:val="32"/>
        </w:rPr>
        <w:t>。</w:t>
      </w:r>
    </w:p>
    <w:p w14:paraId="694E0719">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仿宋_GB2312" w:hAnsi="仿宋_GB2312" w:eastAsia="仿宋_GB2312" w:cs="仿宋_GB2312"/>
          <w:sz w:val="32"/>
          <w:lang w:eastAsia="zh-CN"/>
        </w:rPr>
      </w:pPr>
      <w:r>
        <w:rPr>
          <w:rFonts w:hint="eastAsia" w:ascii="黑体" w:hAnsi="黑体" w:eastAsia="黑体" w:cs="黑体"/>
          <w:sz w:val="32"/>
        </w:rPr>
        <w:t>【禁售</w:t>
      </w:r>
      <w:r>
        <w:rPr>
          <w:rFonts w:hint="eastAsia" w:ascii="黑体" w:hAnsi="黑体" w:eastAsia="黑体" w:cs="黑体"/>
          <w:sz w:val="32"/>
          <w:lang w:eastAsia="zh-CN"/>
        </w:rPr>
        <w:t>管理</w:t>
      </w:r>
      <w:r>
        <w:rPr>
          <w:rFonts w:hint="default" w:ascii="黑体" w:hAnsi="黑体" w:eastAsia="黑体" w:cs="黑体"/>
          <w:sz w:val="32"/>
          <w:lang w:val="en-US"/>
        </w:rPr>
        <w:t xml:space="preserve">】  </w:t>
      </w:r>
      <w:r>
        <w:rPr>
          <w:rFonts w:hint="eastAsia" w:ascii="仿宋_GB2312" w:hAnsi="仿宋_GB2312" w:eastAsia="仿宋_GB2312" w:cs="仿宋_GB2312"/>
          <w:sz w:val="32"/>
        </w:rPr>
        <w:t>药品监督管理部门已明确要求不得通过网络销售的药品，药品网络零售企业</w:t>
      </w:r>
      <w:r>
        <w:rPr>
          <w:rFonts w:hint="eastAsia" w:ascii="仿宋_GB2312" w:hAnsi="仿宋_GB2312" w:eastAsia="仿宋_GB2312" w:cs="仿宋_GB2312"/>
          <w:sz w:val="32"/>
          <w:lang w:val="en-US" w:eastAsia="zh-CN"/>
        </w:rPr>
        <w:t>应当</w:t>
      </w:r>
      <w:r>
        <w:rPr>
          <w:rFonts w:hint="eastAsia" w:ascii="仿宋_GB2312" w:hAnsi="仿宋_GB2312" w:eastAsia="仿宋_GB2312" w:cs="仿宋_GB2312"/>
          <w:sz w:val="32"/>
        </w:rPr>
        <w:t>立即</w:t>
      </w:r>
      <w:r>
        <w:rPr>
          <w:rFonts w:hint="eastAsia" w:ascii="仿宋_GB2312" w:hAnsi="仿宋_GB2312" w:eastAsia="仿宋_GB2312" w:cs="仿宋_GB2312"/>
          <w:sz w:val="32"/>
          <w:lang w:eastAsia="zh-CN"/>
        </w:rPr>
        <w:t>排查，采取必要的风险控制措施</w:t>
      </w:r>
      <w:r>
        <w:rPr>
          <w:rFonts w:hint="eastAsia" w:ascii="仿宋_GB2312" w:hAnsi="仿宋_GB2312" w:eastAsia="仿宋_GB2312" w:cs="仿宋_GB2312"/>
          <w:sz w:val="32"/>
        </w:rPr>
        <w:t>停止通过</w:t>
      </w:r>
      <w:r>
        <w:rPr>
          <w:rFonts w:hint="eastAsia" w:ascii="仿宋_GB2312" w:hAnsi="仿宋_GB2312" w:eastAsia="仿宋_GB2312" w:cs="仿宋_GB2312"/>
          <w:sz w:val="32"/>
          <w:lang w:val="en-US" w:eastAsia="zh-CN"/>
        </w:rPr>
        <w:t>网络</w:t>
      </w:r>
      <w:r>
        <w:rPr>
          <w:rFonts w:hint="eastAsia" w:ascii="仿宋_GB2312" w:hAnsi="仿宋_GB2312" w:eastAsia="仿宋_GB2312" w:cs="仿宋_GB2312"/>
          <w:sz w:val="32"/>
        </w:rPr>
        <w:t>进行销售。</w:t>
      </w:r>
    </w:p>
    <w:p w14:paraId="3881D938">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黑体" w:hAnsi="黑体" w:eastAsia="黑体" w:cs="黑体"/>
          <w:sz w:val="32"/>
        </w:rPr>
      </w:pPr>
      <w:r>
        <w:rPr>
          <w:rFonts w:hint="eastAsia" w:ascii="黑体" w:hAnsi="黑体" w:eastAsia="黑体" w:cs="黑体"/>
          <w:sz w:val="32"/>
        </w:rPr>
        <w:t>【</w:t>
      </w:r>
      <w:r>
        <w:rPr>
          <w:rFonts w:hint="eastAsia" w:ascii="黑体" w:hAnsi="黑体" w:eastAsia="黑体" w:cs="黑体"/>
          <w:sz w:val="32"/>
          <w:lang w:eastAsia="zh-CN"/>
        </w:rPr>
        <w:t>防范</w:t>
      </w:r>
      <w:r>
        <w:rPr>
          <w:rFonts w:hint="eastAsia" w:ascii="黑体" w:hAnsi="黑体" w:eastAsia="黑体" w:cs="黑体"/>
          <w:sz w:val="32"/>
        </w:rPr>
        <w:t>买赠</w:t>
      </w:r>
      <w:r>
        <w:rPr>
          <w:rFonts w:hint="eastAsia" w:ascii="黑体" w:hAnsi="黑体" w:eastAsia="黑体" w:cs="黑体"/>
          <w:sz w:val="32"/>
          <w:lang w:eastAsia="zh-CN"/>
        </w:rPr>
        <w:t>风险</w:t>
      </w:r>
      <w:r>
        <w:rPr>
          <w:rFonts w:hint="default" w:ascii="黑体" w:hAnsi="黑体" w:eastAsia="黑体" w:cs="黑体"/>
          <w:sz w:val="32"/>
          <w:lang w:val="en-US"/>
        </w:rPr>
        <w:t xml:space="preserve">】  </w:t>
      </w:r>
      <w:r>
        <w:rPr>
          <w:rFonts w:hint="eastAsia" w:ascii="仿宋_GB2312" w:hAnsi="仿宋_GB2312" w:eastAsia="仿宋_GB2312" w:cs="仿宋_GB2312"/>
          <w:sz w:val="32"/>
        </w:rPr>
        <w:t>药品网络零售企业</w:t>
      </w:r>
      <w:r>
        <w:rPr>
          <w:rFonts w:hint="eastAsia" w:ascii="仿宋_GB2312" w:hAnsi="仿宋_GB2312" w:eastAsia="仿宋_GB2312" w:cs="仿宋_GB2312"/>
          <w:sz w:val="32"/>
          <w:lang w:eastAsia="zh-CN"/>
        </w:rPr>
        <w:t>在销售处方药的过程中，</w:t>
      </w:r>
      <w:r>
        <w:rPr>
          <w:rFonts w:hint="eastAsia" w:ascii="仿宋_GB2312" w:hAnsi="仿宋_GB2312" w:eastAsia="仿宋_GB2312" w:cs="仿宋_GB2312"/>
          <w:sz w:val="32"/>
        </w:rPr>
        <w:t>不得以买药品赠药品或者买商品赠药品等方式向公众赠送处方药</w:t>
      </w:r>
      <w:r>
        <w:rPr>
          <w:rFonts w:hint="eastAsia" w:ascii="仿宋_GB2312" w:hAnsi="仿宋_GB2312" w:eastAsia="仿宋_GB2312" w:cs="仿宋_GB2312"/>
          <w:sz w:val="32"/>
          <w:lang w:val="en-US" w:eastAsia="zh-CN"/>
        </w:rPr>
        <w:t>，避免以下</w:t>
      </w:r>
      <w:r>
        <w:rPr>
          <w:rFonts w:hint="eastAsia" w:ascii="仿宋_GB2312" w:hAnsi="仿宋_GB2312" w:eastAsia="仿宋_GB2312" w:cs="仿宋_GB2312"/>
          <w:sz w:val="32"/>
          <w:lang w:eastAsia="zh-CN"/>
        </w:rPr>
        <w:t>存在法律风险的行为，比如：</w:t>
      </w:r>
      <w:r>
        <w:rPr>
          <w:rFonts w:hint="eastAsia" w:ascii="仿宋_GB2312" w:hAnsi="仿宋_GB2312" w:eastAsia="仿宋_GB2312" w:cs="仿宋_GB2312"/>
          <w:sz w:val="32"/>
        </w:rPr>
        <w:t>以答题竞猜</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有奖销售、附赠药品或礼品</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积分兑换</w:t>
      </w:r>
      <w:r>
        <w:rPr>
          <w:rFonts w:hint="eastAsia" w:ascii="仿宋_GB2312" w:hAnsi="仿宋_GB2312" w:eastAsia="仿宋_GB2312" w:cs="仿宋_GB2312"/>
          <w:sz w:val="32"/>
        </w:rPr>
        <w:t>等方式</w:t>
      </w:r>
      <w:r>
        <w:rPr>
          <w:rFonts w:hint="eastAsia" w:ascii="仿宋_GB2312" w:hAnsi="仿宋_GB2312" w:eastAsia="仿宋_GB2312" w:cs="仿宋_GB2312"/>
          <w:sz w:val="32"/>
          <w:lang w:val="en-US" w:eastAsia="zh-CN"/>
        </w:rPr>
        <w:t>提供</w:t>
      </w:r>
      <w:r>
        <w:rPr>
          <w:rFonts w:hint="eastAsia" w:ascii="仿宋_GB2312" w:hAnsi="仿宋_GB2312" w:eastAsia="仿宋_GB2312" w:cs="仿宋_GB2312"/>
          <w:sz w:val="32"/>
        </w:rPr>
        <w:t>处方药</w:t>
      </w:r>
      <w:r>
        <w:rPr>
          <w:rFonts w:hint="eastAsia" w:ascii="仿宋_GB2312" w:hAnsi="仿宋_GB2312" w:eastAsia="仿宋_GB2312" w:cs="仿宋_GB2312"/>
          <w:sz w:val="32"/>
          <w:lang w:eastAsia="zh-CN"/>
        </w:rPr>
        <w:t>；以提货卡、核销码、</w:t>
      </w:r>
      <w:r>
        <w:rPr>
          <w:rFonts w:hint="eastAsia" w:ascii="仿宋_GB2312" w:hAnsi="仿宋_GB2312" w:eastAsia="仿宋_GB2312" w:cs="仿宋_GB2312"/>
          <w:sz w:val="32"/>
          <w:lang w:val="en-US" w:eastAsia="zh-CN"/>
        </w:rPr>
        <w:t>优惠券</w:t>
      </w:r>
      <w:r>
        <w:rPr>
          <w:rFonts w:hint="eastAsia" w:ascii="仿宋_GB2312" w:hAnsi="仿宋_GB2312" w:eastAsia="仿宋_GB2312" w:cs="仿宋_GB2312"/>
          <w:sz w:val="32"/>
          <w:lang w:eastAsia="zh-CN"/>
        </w:rPr>
        <w:t>等形式</w:t>
      </w:r>
      <w:r>
        <w:rPr>
          <w:rFonts w:hint="eastAsia" w:ascii="仿宋_GB2312" w:hAnsi="仿宋_GB2312" w:eastAsia="仿宋_GB2312" w:cs="仿宋_GB2312"/>
          <w:sz w:val="32"/>
        </w:rPr>
        <w:t>向公众直接或变相</w:t>
      </w:r>
      <w:r>
        <w:rPr>
          <w:rFonts w:hint="eastAsia" w:ascii="仿宋_GB2312" w:hAnsi="仿宋_GB2312" w:eastAsia="仿宋_GB2312" w:cs="仿宋_GB2312"/>
          <w:sz w:val="32"/>
          <w:lang w:eastAsia="zh-CN"/>
        </w:rPr>
        <w:t>销售</w:t>
      </w:r>
      <w:r>
        <w:rPr>
          <w:rFonts w:hint="eastAsia" w:ascii="仿宋_GB2312" w:hAnsi="仿宋_GB2312" w:eastAsia="仿宋_GB2312" w:cs="仿宋_GB2312"/>
          <w:sz w:val="32"/>
        </w:rPr>
        <w:t>处方药</w:t>
      </w:r>
      <w:r>
        <w:rPr>
          <w:rFonts w:hint="eastAsia" w:ascii="仿宋_GB2312" w:hAnsi="仿宋_GB2312" w:eastAsia="仿宋_GB2312" w:cs="仿宋_GB2312"/>
          <w:sz w:val="32"/>
          <w:lang w:eastAsia="zh-CN"/>
        </w:rPr>
        <w:t>；将处方药</w:t>
      </w:r>
      <w:r>
        <w:rPr>
          <w:rFonts w:hint="eastAsia" w:ascii="仿宋_GB2312" w:hAnsi="仿宋_GB2312" w:eastAsia="仿宋_GB2312" w:cs="仿宋_GB2312"/>
          <w:sz w:val="32"/>
        </w:rPr>
        <w:t>以商品组合</w:t>
      </w:r>
      <w:r>
        <w:rPr>
          <w:rFonts w:hint="eastAsia" w:ascii="仿宋_GB2312" w:hAnsi="仿宋_GB2312" w:eastAsia="仿宋_GB2312" w:cs="仿宋_GB2312"/>
          <w:sz w:val="32"/>
          <w:lang w:eastAsia="zh-CN"/>
        </w:rPr>
        <w:t>或套餐等</w:t>
      </w:r>
      <w:r>
        <w:rPr>
          <w:rFonts w:hint="eastAsia" w:ascii="仿宋_GB2312" w:hAnsi="仿宋_GB2312" w:eastAsia="仿宋_GB2312" w:cs="仿宋_GB2312"/>
          <w:sz w:val="32"/>
        </w:rPr>
        <w:t>形式</w:t>
      </w:r>
      <w:r>
        <w:rPr>
          <w:rFonts w:hint="eastAsia" w:ascii="仿宋_GB2312" w:hAnsi="仿宋_GB2312" w:eastAsia="仿宋_GB2312" w:cs="仿宋_GB2312"/>
          <w:sz w:val="32"/>
          <w:lang w:eastAsia="zh-CN"/>
        </w:rPr>
        <w:t>向公众</w:t>
      </w:r>
      <w:r>
        <w:rPr>
          <w:rFonts w:hint="eastAsia" w:ascii="仿宋_GB2312" w:hAnsi="仿宋_GB2312" w:eastAsia="仿宋_GB2312" w:cs="仿宋_GB2312"/>
          <w:sz w:val="32"/>
        </w:rPr>
        <w:t>销售</w:t>
      </w:r>
      <w:r>
        <w:rPr>
          <w:rFonts w:hint="eastAsia" w:ascii="仿宋_GB2312" w:hAnsi="仿宋_GB2312" w:eastAsia="仿宋_GB2312" w:cs="仿宋_GB2312"/>
          <w:sz w:val="32"/>
          <w:lang w:eastAsia="zh-CN"/>
        </w:rPr>
        <w:t>等</w:t>
      </w:r>
      <w:r>
        <w:rPr>
          <w:rFonts w:hint="eastAsia" w:ascii="仿宋_GB2312" w:hAnsi="仿宋_GB2312" w:eastAsia="仿宋_GB2312" w:cs="仿宋_GB2312"/>
          <w:sz w:val="32"/>
        </w:rPr>
        <w:t>。</w:t>
      </w:r>
    </w:p>
    <w:p w14:paraId="7747760C">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黑体" w:hAnsi="黑体" w:eastAsia="黑体" w:cs="黑体"/>
          <w:sz w:val="32"/>
        </w:rPr>
      </w:pPr>
      <w:r>
        <w:rPr>
          <w:rFonts w:hint="eastAsia" w:ascii="黑体" w:hAnsi="黑体" w:eastAsia="黑体" w:cs="黑体"/>
          <w:sz w:val="32"/>
        </w:rPr>
        <w:t>【</w:t>
      </w:r>
      <w:r>
        <w:rPr>
          <w:rFonts w:hint="eastAsia" w:ascii="黑体" w:hAnsi="黑体" w:eastAsia="黑体" w:cs="黑体"/>
          <w:sz w:val="32"/>
          <w:lang w:eastAsia="zh-CN"/>
        </w:rPr>
        <w:t>防范</w:t>
      </w:r>
      <w:r>
        <w:rPr>
          <w:rFonts w:hint="eastAsia" w:ascii="黑体" w:hAnsi="黑体" w:eastAsia="黑体" w:cs="黑体"/>
          <w:sz w:val="32"/>
        </w:rPr>
        <w:t>推荐</w:t>
      </w:r>
      <w:r>
        <w:rPr>
          <w:rFonts w:hint="eastAsia" w:ascii="黑体" w:hAnsi="黑体" w:eastAsia="黑体" w:cs="黑体"/>
          <w:sz w:val="32"/>
          <w:lang w:eastAsia="zh-CN"/>
        </w:rPr>
        <w:t>风险</w:t>
      </w:r>
      <w:r>
        <w:rPr>
          <w:rFonts w:hint="default" w:ascii="黑体" w:hAnsi="黑体" w:eastAsia="黑体" w:cs="黑体"/>
          <w:sz w:val="32"/>
          <w:lang w:val="en-US"/>
        </w:rPr>
        <w:t xml:space="preserve">】  </w:t>
      </w:r>
      <w:r>
        <w:rPr>
          <w:rFonts w:hint="eastAsia" w:ascii="仿宋_GB2312" w:hAnsi="仿宋_GB2312" w:eastAsia="仿宋_GB2312" w:cs="仿宋_GB2312"/>
          <w:sz w:val="32"/>
        </w:rPr>
        <w:t>药品网络零售企业</w:t>
      </w:r>
      <w:r>
        <w:rPr>
          <w:rFonts w:hint="eastAsia" w:ascii="仿宋_GB2312" w:hAnsi="仿宋_GB2312" w:eastAsia="仿宋_GB2312" w:cs="仿宋_GB2312"/>
          <w:sz w:val="32"/>
          <w:lang w:val="en-US" w:eastAsia="zh-CN"/>
        </w:rPr>
        <w:t>应当避免</w:t>
      </w:r>
      <w:r>
        <w:rPr>
          <w:rFonts w:hint="eastAsia" w:ascii="仿宋_GB2312" w:hAnsi="仿宋_GB2312" w:eastAsia="仿宋_GB2312" w:cs="仿宋_GB2312"/>
          <w:sz w:val="32"/>
        </w:rPr>
        <w:t>以任何方式诱导消费者购买与治疗目的不符的药品</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以防止</w:t>
      </w:r>
      <w:r>
        <w:rPr>
          <w:rFonts w:hint="eastAsia" w:ascii="仿宋_GB2312" w:hAnsi="仿宋_GB2312" w:eastAsia="仿宋_GB2312" w:cs="仿宋_GB2312"/>
          <w:sz w:val="32"/>
          <w:lang w:eastAsia="zh-CN"/>
        </w:rPr>
        <w:t>产生危害公众用药安全，引发药品滥用等不利后果</w:t>
      </w:r>
      <w:r>
        <w:rPr>
          <w:rFonts w:hint="eastAsia" w:ascii="仿宋_GB2312" w:hAnsi="仿宋_GB2312" w:eastAsia="仿宋_GB2312" w:cs="仿宋_GB2312"/>
          <w:sz w:val="32"/>
        </w:rPr>
        <w:t>。</w:t>
      </w:r>
    </w:p>
    <w:p w14:paraId="14406E43">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仿宋_GB2312" w:hAnsi="仿宋_GB2312" w:eastAsia="仿宋_GB2312" w:cs="仿宋_GB2312"/>
          <w:sz w:val="32"/>
        </w:rPr>
      </w:pPr>
      <w:r>
        <w:rPr>
          <w:rFonts w:hint="eastAsia" w:ascii="黑体" w:hAnsi="黑体" w:eastAsia="黑体" w:cs="黑体"/>
          <w:sz w:val="32"/>
        </w:rPr>
        <w:t>【未成年人保护</w:t>
      </w:r>
      <w:r>
        <w:rPr>
          <w:rFonts w:hint="default" w:ascii="黑体" w:hAnsi="黑体" w:eastAsia="黑体" w:cs="黑体"/>
          <w:sz w:val="32"/>
          <w:lang w:val="en-US"/>
        </w:rPr>
        <w:t xml:space="preserve">】  </w:t>
      </w:r>
      <w:r>
        <w:rPr>
          <w:rFonts w:hint="eastAsia" w:ascii="仿宋_GB2312" w:hAnsi="仿宋_GB2312" w:eastAsia="仿宋_GB2312" w:cs="仿宋_GB2312"/>
          <w:sz w:val="32"/>
        </w:rPr>
        <w:t>药品网络零售企业</w:t>
      </w:r>
      <w:r>
        <w:rPr>
          <w:rFonts w:hint="eastAsia" w:ascii="仿宋_GB2312" w:hAnsi="仿宋_GB2312" w:eastAsia="仿宋_GB2312" w:cs="仿宋_GB2312"/>
          <w:sz w:val="32"/>
          <w:lang w:eastAsia="zh-CN"/>
        </w:rPr>
        <w:t>向</w:t>
      </w:r>
      <w:r>
        <w:rPr>
          <w:rFonts w:hint="eastAsia" w:ascii="仿宋_GB2312" w:hAnsi="仿宋_GB2312" w:eastAsia="仿宋_GB2312" w:cs="仿宋_GB2312"/>
          <w:sz w:val="32"/>
        </w:rPr>
        <w:t>未成年人销售处方药</w:t>
      </w:r>
      <w:r>
        <w:rPr>
          <w:rFonts w:hint="eastAsia" w:ascii="仿宋_GB2312" w:hAnsi="仿宋_GB2312" w:eastAsia="仿宋_GB2312" w:cs="仿宋_GB2312"/>
          <w:sz w:val="32"/>
          <w:lang w:val="en-US" w:eastAsia="zh-CN"/>
        </w:rPr>
        <w:t>或审核发现处方上的用药对象是未成年人时，建议询问消费者是否取得</w:t>
      </w:r>
      <w:r>
        <w:rPr>
          <w:rFonts w:hint="eastAsia" w:ascii="仿宋_GB2312" w:hAnsi="仿宋_GB2312" w:eastAsia="仿宋_GB2312" w:cs="仿宋_GB2312"/>
          <w:sz w:val="32"/>
        </w:rPr>
        <w:t>监护人</w:t>
      </w:r>
      <w:r>
        <w:rPr>
          <w:rFonts w:hint="eastAsia" w:ascii="仿宋_GB2312" w:hAnsi="仿宋_GB2312" w:eastAsia="仿宋_GB2312" w:cs="仿宋_GB2312"/>
          <w:sz w:val="32"/>
          <w:lang w:val="en-US" w:eastAsia="zh-CN"/>
        </w:rPr>
        <w:t>知情同意</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充分告知消费者要</w:t>
      </w:r>
      <w:r>
        <w:rPr>
          <w:rFonts w:hint="eastAsia" w:ascii="仿宋_GB2312" w:hAnsi="仿宋_GB2312" w:eastAsia="仿宋_GB2312" w:cs="仿宋_GB2312"/>
          <w:sz w:val="32"/>
        </w:rPr>
        <w:t>在相关专业医师的指导下购买使用，</w:t>
      </w:r>
      <w:r>
        <w:rPr>
          <w:rFonts w:hint="eastAsia" w:ascii="仿宋_GB2312" w:hAnsi="仿宋_GB2312" w:eastAsia="仿宋_GB2312" w:cs="仿宋_GB2312"/>
          <w:sz w:val="32"/>
          <w:lang w:val="en-US" w:eastAsia="zh-CN"/>
        </w:rPr>
        <w:t>避免</w:t>
      </w:r>
      <w:r>
        <w:rPr>
          <w:rFonts w:hint="eastAsia" w:ascii="仿宋_GB2312" w:hAnsi="仿宋_GB2312" w:eastAsia="仿宋_GB2312" w:cs="仿宋_GB2312"/>
          <w:sz w:val="32"/>
        </w:rPr>
        <w:t>危害未成年人的人身安全和身心健康。</w:t>
      </w:r>
    </w:p>
    <w:p w14:paraId="385C0522">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黑体" w:hAnsi="黑体" w:eastAsia="黑体" w:cs="黑体"/>
          <w:sz w:val="32"/>
          <w:lang w:eastAsia="zh-CN"/>
        </w:rPr>
      </w:pPr>
      <w:r>
        <w:rPr>
          <w:rFonts w:hint="eastAsia" w:ascii="黑体" w:hAnsi="黑体" w:eastAsia="黑体" w:cs="黑体"/>
          <w:sz w:val="32"/>
        </w:rPr>
        <w:t>【处方来源审核</w:t>
      </w:r>
      <w:r>
        <w:rPr>
          <w:rFonts w:hint="default" w:ascii="黑体" w:hAnsi="黑体" w:eastAsia="黑体" w:cs="黑体"/>
          <w:sz w:val="32"/>
          <w:lang w:val="en-US"/>
        </w:rPr>
        <w:t xml:space="preserve">】  </w:t>
      </w:r>
      <w:r>
        <w:rPr>
          <w:rFonts w:hint="eastAsia" w:ascii="仿宋_GB2312" w:hAnsi="仿宋_GB2312" w:eastAsia="仿宋_GB2312" w:cs="仿宋_GB2312"/>
          <w:sz w:val="32"/>
        </w:rPr>
        <w:t>药品网络零售企业应当</w:t>
      </w:r>
      <w:r>
        <w:rPr>
          <w:rFonts w:hint="eastAsia" w:ascii="仿宋_GB2312" w:hAnsi="仿宋_GB2312" w:eastAsia="仿宋_GB2312" w:cs="仿宋_GB2312"/>
          <w:sz w:val="32"/>
          <w:lang w:eastAsia="zh-CN"/>
        </w:rPr>
        <w:t>按照要求</w:t>
      </w:r>
      <w:r>
        <w:rPr>
          <w:rFonts w:hint="eastAsia" w:ascii="仿宋_GB2312" w:hAnsi="仿宋_GB2312" w:eastAsia="仿宋_GB2312" w:cs="仿宋_GB2312"/>
          <w:sz w:val="32"/>
        </w:rPr>
        <w:t>凭处方销售处方药。药品网络零售企业通过网络销售处方药的，应当确保处方来源真实、可靠，并实行实名制。</w:t>
      </w:r>
    </w:p>
    <w:p w14:paraId="794C318F">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lang w:eastAsia="zh-CN"/>
        </w:rPr>
      </w:pPr>
      <w:r>
        <w:rPr>
          <w:rFonts w:hint="eastAsia" w:ascii="黑体" w:hAnsi="黑体" w:eastAsia="黑体" w:cs="黑体"/>
          <w:sz w:val="32"/>
        </w:rPr>
        <w:t>【处方内容审核</w:t>
      </w:r>
      <w:r>
        <w:rPr>
          <w:rFonts w:hint="default" w:ascii="黑体" w:hAnsi="黑体" w:eastAsia="黑体" w:cs="黑体"/>
          <w:sz w:val="32"/>
          <w:lang w:val="en-US"/>
        </w:rPr>
        <w:t xml:space="preserve">】  </w:t>
      </w:r>
      <w:r>
        <w:rPr>
          <w:rFonts w:hint="eastAsia" w:ascii="仿宋_GB2312" w:hAnsi="仿宋_GB2312" w:eastAsia="仿宋_GB2312" w:cs="仿宋_GB2312"/>
          <w:sz w:val="32"/>
        </w:rPr>
        <w:t>药品网络零售企业</w:t>
      </w:r>
      <w:r>
        <w:rPr>
          <w:rFonts w:hint="eastAsia" w:ascii="仿宋_GB2312" w:hAnsi="仿宋_GB2312" w:eastAsia="仿宋_GB2312" w:cs="仿宋_GB2312"/>
          <w:sz w:val="32"/>
          <w:lang w:eastAsia="zh-CN"/>
        </w:rPr>
        <w:t>在销售处方药前</w:t>
      </w:r>
      <w:r>
        <w:rPr>
          <w:rFonts w:hint="eastAsia" w:ascii="仿宋_GB2312" w:hAnsi="仿宋_GB2312" w:eastAsia="仿宋_GB2312" w:cs="仿宋_GB2312"/>
          <w:sz w:val="32"/>
          <w:lang w:val="en-US" w:eastAsia="zh-CN"/>
        </w:rPr>
        <w:t>应当按照《中华人民共和国药品管理法》有关要求</w:t>
      </w:r>
      <w:r>
        <w:rPr>
          <w:rFonts w:hint="eastAsia" w:ascii="仿宋_GB2312" w:hAnsi="仿宋_GB2312" w:eastAsia="仿宋_GB2312" w:cs="仿宋_GB2312"/>
          <w:sz w:val="32"/>
          <w:lang w:eastAsia="zh-CN"/>
        </w:rPr>
        <w:t>开展处方审核。</w:t>
      </w:r>
      <w:r>
        <w:rPr>
          <w:rFonts w:hint="eastAsia" w:ascii="仿宋_GB2312" w:hAnsi="仿宋_GB2312" w:eastAsia="仿宋_GB2312" w:cs="仿宋_GB2312"/>
          <w:sz w:val="32"/>
        </w:rPr>
        <w:t>药品网络零售企业</w:t>
      </w:r>
      <w:r>
        <w:rPr>
          <w:rFonts w:hint="eastAsia" w:ascii="仿宋_GB2312" w:hAnsi="仿宋_GB2312" w:eastAsia="仿宋_GB2312" w:cs="仿宋_GB2312"/>
          <w:sz w:val="32"/>
          <w:lang w:eastAsia="zh-CN"/>
        </w:rPr>
        <w:t>可以</w:t>
      </w:r>
      <w:r>
        <w:rPr>
          <w:rFonts w:hint="eastAsia" w:ascii="仿宋_GB2312" w:hAnsi="仿宋_GB2312" w:eastAsia="仿宋_GB2312" w:cs="仿宋_GB2312"/>
          <w:sz w:val="32"/>
        </w:rPr>
        <w:t>指定依法经过资格认定的药师或者其他药学技术人员</w:t>
      </w:r>
      <w:r>
        <w:rPr>
          <w:rFonts w:hint="eastAsia" w:ascii="仿宋_GB2312" w:hAnsi="仿宋_GB2312" w:eastAsia="仿宋_GB2312" w:cs="仿宋_GB2312"/>
          <w:sz w:val="32"/>
          <w:lang w:eastAsia="zh-CN"/>
        </w:rPr>
        <w:t>专门</w:t>
      </w:r>
      <w:r>
        <w:rPr>
          <w:rFonts w:hint="eastAsia" w:ascii="仿宋_GB2312" w:hAnsi="仿宋_GB2312" w:eastAsia="仿宋_GB2312" w:cs="仿宋_GB2312"/>
          <w:sz w:val="32"/>
        </w:rPr>
        <w:t>负责处方审核、调配与核对工作，认真逐项检查处方前记、正文和后记书写是否清晰、完整，确保处方合法性及用药适宜性。审核处方</w:t>
      </w:r>
      <w:r>
        <w:rPr>
          <w:rFonts w:hint="eastAsia" w:ascii="仿宋_GB2312" w:hAnsi="仿宋_GB2312" w:eastAsia="仿宋_GB2312" w:cs="仿宋_GB2312"/>
          <w:sz w:val="32"/>
          <w:lang w:eastAsia="zh-CN"/>
        </w:rPr>
        <w:t>的内容参照处方管理有关规定进行。</w:t>
      </w:r>
    </w:p>
    <w:p w14:paraId="3655581C">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仿宋_GB2312" w:hAnsi="仿宋_GB2312" w:eastAsia="仿宋_GB2312" w:cs="仿宋_GB2312"/>
          <w:sz w:val="32"/>
          <w:lang w:eastAsia="zh-CN"/>
        </w:rPr>
      </w:pPr>
      <w:r>
        <w:rPr>
          <w:rFonts w:hint="eastAsia" w:ascii="黑体" w:hAnsi="黑体" w:eastAsia="黑体" w:cs="黑体"/>
          <w:sz w:val="32"/>
          <w:lang w:eastAsia="zh-CN"/>
        </w:rPr>
        <w:t>【审核记录</w:t>
      </w:r>
      <w:r>
        <w:rPr>
          <w:rFonts w:hint="default" w:ascii="黑体" w:hAnsi="黑体" w:eastAsia="黑体" w:cs="黑体"/>
          <w:sz w:val="32"/>
          <w:lang w:val="en-US" w:eastAsia="zh-CN"/>
        </w:rPr>
        <w:t xml:space="preserve">】  </w:t>
      </w:r>
      <w:r>
        <w:rPr>
          <w:rFonts w:hint="eastAsia" w:ascii="仿宋_GB2312" w:hAnsi="仿宋_GB2312" w:eastAsia="仿宋_GB2312" w:cs="仿宋_GB2312"/>
          <w:sz w:val="32"/>
        </w:rPr>
        <w:t>通过处方审核前，药品网络零售企业不得向消费者提供处方药购买的相关服务。通过网络接收的电子处方或纸质处方影印版本，药品网络零售企业的处方审核、调配、核对人员应当在处方上签字或者加盖专用签章并注明日期</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药品网络零售企业</w:t>
      </w:r>
      <w:r>
        <w:rPr>
          <w:rFonts w:hint="eastAsia" w:ascii="仿宋_GB2312" w:hAnsi="仿宋_GB2312" w:eastAsia="仿宋_GB2312" w:cs="仿宋_GB2312"/>
          <w:sz w:val="32"/>
          <w:lang w:val="en-US" w:eastAsia="zh-CN"/>
        </w:rPr>
        <w:t>应当</w:t>
      </w:r>
      <w:r>
        <w:rPr>
          <w:rFonts w:hint="eastAsia" w:ascii="仿宋_GB2312" w:hAnsi="仿宋_GB2312" w:eastAsia="仿宋_GB2312" w:cs="仿宋_GB2312"/>
          <w:sz w:val="32"/>
        </w:rPr>
        <w:t>采取</w:t>
      </w:r>
      <w:r>
        <w:rPr>
          <w:rFonts w:hint="eastAsia" w:ascii="仿宋_GB2312" w:hAnsi="仿宋_GB2312" w:eastAsia="仿宋_GB2312" w:cs="仿宋_GB2312"/>
          <w:sz w:val="32"/>
          <w:lang w:eastAsia="zh-CN"/>
        </w:rPr>
        <w:t>多种</w:t>
      </w:r>
      <w:r>
        <w:rPr>
          <w:rFonts w:hint="eastAsia" w:ascii="仿宋_GB2312" w:hAnsi="仿宋_GB2312" w:eastAsia="仿宋_GB2312" w:cs="仿宋_GB2312"/>
          <w:sz w:val="32"/>
        </w:rPr>
        <w:t>有效措施避免处方重复使用，按照有关规定将处方或者其复印件存档备查</w:t>
      </w:r>
      <w:r>
        <w:rPr>
          <w:rFonts w:hint="eastAsia" w:ascii="仿宋_GB2312" w:hAnsi="仿宋_GB2312" w:eastAsia="仿宋_GB2312" w:cs="仿宋_GB2312"/>
          <w:sz w:val="32"/>
          <w:lang w:eastAsia="zh-CN"/>
        </w:rPr>
        <w:t>，比如可以使用区块链电子签章技术进行标注和校验</w:t>
      </w:r>
      <w:r>
        <w:rPr>
          <w:rFonts w:hint="eastAsia" w:ascii="仿宋_GB2312" w:hAnsi="仿宋_GB2312" w:eastAsia="仿宋_GB2312" w:cs="仿宋_GB2312"/>
          <w:sz w:val="32"/>
        </w:rPr>
        <w:t>。</w:t>
      </w:r>
    </w:p>
    <w:p w14:paraId="734FFA84">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黑体" w:hAnsi="黑体" w:eastAsia="黑体" w:cs="黑体"/>
          <w:sz w:val="32"/>
        </w:rPr>
      </w:pPr>
      <w:r>
        <w:rPr>
          <w:rFonts w:hint="eastAsia" w:ascii="黑体" w:hAnsi="黑体" w:eastAsia="黑体" w:cs="黑体"/>
          <w:sz w:val="32"/>
          <w:lang w:eastAsia="zh-CN"/>
        </w:rPr>
        <w:t>【防范替代风险</w:t>
      </w:r>
      <w:r>
        <w:rPr>
          <w:rFonts w:hint="default" w:ascii="黑体" w:hAnsi="黑体" w:eastAsia="黑体" w:cs="黑体"/>
          <w:sz w:val="32"/>
          <w:lang w:val="en-US" w:eastAsia="zh-CN"/>
        </w:rPr>
        <w:t xml:space="preserve">】  </w:t>
      </w:r>
      <w:r>
        <w:rPr>
          <w:rFonts w:hint="eastAsia" w:ascii="仿宋_GB2312" w:hAnsi="仿宋_GB2312" w:eastAsia="仿宋_GB2312" w:cs="仿宋_GB2312"/>
          <w:sz w:val="32"/>
        </w:rPr>
        <w:t>药品网络零售</w:t>
      </w:r>
      <w:r>
        <w:rPr>
          <w:rFonts w:hint="eastAsia" w:ascii="仿宋_GB2312" w:hAnsi="仿宋_GB2312" w:eastAsia="仿宋_GB2312" w:cs="仿宋_GB2312"/>
          <w:sz w:val="32"/>
          <w:lang w:eastAsia="zh-CN"/>
        </w:rPr>
        <w:t>企业要确保本企业</w:t>
      </w:r>
      <w:r>
        <w:rPr>
          <w:rFonts w:hint="eastAsia" w:ascii="仿宋_GB2312" w:hAnsi="仿宋_GB2312" w:eastAsia="仿宋_GB2312" w:cs="仿宋_GB2312"/>
          <w:sz w:val="32"/>
        </w:rPr>
        <w:t>的处方审核工作由依法经过资格认定的药师或者其他药学技术人员真实开展并签字确认，</w:t>
      </w:r>
      <w:r>
        <w:rPr>
          <w:rFonts w:hint="eastAsia" w:ascii="仿宋_GB2312" w:hAnsi="仿宋_GB2312" w:eastAsia="仿宋_GB2312" w:cs="仿宋_GB2312"/>
          <w:sz w:val="32"/>
          <w:lang w:eastAsia="zh-CN"/>
        </w:rPr>
        <w:t>避免</w:t>
      </w:r>
      <w:r>
        <w:rPr>
          <w:rFonts w:hint="eastAsia" w:ascii="仿宋_GB2312" w:hAnsi="仿宋_GB2312" w:eastAsia="仿宋_GB2312" w:cs="仿宋_GB2312"/>
          <w:sz w:val="32"/>
        </w:rPr>
        <w:t>由其他岗位人员</w:t>
      </w:r>
      <w:r>
        <w:rPr>
          <w:rFonts w:hint="eastAsia" w:ascii="仿宋_GB2312" w:hAnsi="仿宋_GB2312" w:eastAsia="仿宋_GB2312" w:cs="仿宋_GB2312"/>
          <w:sz w:val="32"/>
          <w:lang w:val="en-US" w:eastAsia="zh-CN"/>
        </w:rPr>
        <w:t>或人工智能</w:t>
      </w:r>
      <w:r>
        <w:rPr>
          <w:rFonts w:hint="eastAsia" w:ascii="仿宋_GB2312" w:hAnsi="仿宋_GB2312" w:eastAsia="仿宋_GB2312" w:cs="仿宋_GB2312"/>
          <w:sz w:val="32"/>
        </w:rPr>
        <w:t>代为实施</w:t>
      </w:r>
      <w:r>
        <w:rPr>
          <w:rFonts w:hint="eastAsia" w:ascii="仿宋_GB2312" w:hAnsi="仿宋_GB2312" w:eastAsia="仿宋_GB2312" w:cs="仿宋_GB2312"/>
          <w:sz w:val="32"/>
          <w:lang w:val="en-US" w:eastAsia="zh-CN"/>
        </w:rPr>
        <w:t>。</w:t>
      </w:r>
    </w:p>
    <w:p w14:paraId="317C2791">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default" w:ascii="Times New Roman" w:hAnsi="Times New Roman" w:eastAsia="仿宋_GB2312" w:cs="Times New Roman"/>
          <w:sz w:val="32"/>
          <w:lang w:eastAsia="zh-CN"/>
        </w:rPr>
      </w:pPr>
      <w:r>
        <w:rPr>
          <w:rFonts w:hint="eastAsia" w:ascii="黑体" w:hAnsi="黑体" w:eastAsia="黑体" w:cs="黑体"/>
          <w:sz w:val="32"/>
          <w:lang w:eastAsia="zh-CN"/>
        </w:rPr>
        <w:t>【审方数量限制</w:t>
      </w:r>
      <w:r>
        <w:rPr>
          <w:rFonts w:hint="default" w:ascii="黑体" w:hAnsi="黑体" w:eastAsia="黑体" w:cs="黑体"/>
          <w:sz w:val="32"/>
          <w:lang w:val="en-US" w:eastAsia="zh-CN"/>
        </w:rPr>
        <w:t xml:space="preserve">】  </w:t>
      </w:r>
      <w:r>
        <w:rPr>
          <w:rFonts w:hint="default" w:ascii="Times New Roman" w:hAnsi="Times New Roman" w:eastAsia="仿宋_GB2312" w:cs="Times New Roman"/>
          <w:sz w:val="32"/>
          <w:lang w:eastAsia="zh-CN"/>
        </w:rPr>
        <w:t>为保证处方审核质量，</w:t>
      </w:r>
      <w:r>
        <w:rPr>
          <w:rFonts w:hint="eastAsia" w:ascii="Times New Roman" w:hAnsi="Times New Roman" w:eastAsia="仿宋_GB2312" w:cs="Times New Roman"/>
          <w:sz w:val="32"/>
          <w:lang w:eastAsia="zh-CN"/>
        </w:rPr>
        <w:t>建议</w:t>
      </w:r>
      <w:r>
        <w:rPr>
          <w:rFonts w:hint="default" w:ascii="Times New Roman" w:hAnsi="Times New Roman" w:eastAsia="仿宋_GB2312"/>
          <w:sz w:val="32"/>
        </w:rPr>
        <w:t>药品网络零售企业</w:t>
      </w:r>
      <w:r>
        <w:rPr>
          <w:rFonts w:hint="eastAsia" w:ascii="Times New Roman" w:hAnsi="Times New Roman" w:eastAsia="仿宋_GB2312"/>
          <w:sz w:val="32"/>
          <w:lang w:eastAsia="zh-CN"/>
        </w:rPr>
        <w:t>将</w:t>
      </w:r>
      <w:r>
        <w:rPr>
          <w:rFonts w:hint="default" w:ascii="Times New Roman" w:hAnsi="Times New Roman" w:eastAsia="仿宋_GB2312" w:cs="Times New Roman"/>
          <w:sz w:val="32"/>
          <w:lang w:eastAsia="zh-CN"/>
        </w:rPr>
        <w:t>处方审核人员</w:t>
      </w:r>
      <w:r>
        <w:rPr>
          <w:rFonts w:hint="eastAsia" w:ascii="Times New Roman" w:hAnsi="Times New Roman" w:eastAsia="仿宋_GB2312" w:cs="Times New Roman"/>
          <w:sz w:val="32"/>
          <w:lang w:eastAsia="zh-CN"/>
        </w:rPr>
        <w:t>的</w:t>
      </w:r>
      <w:r>
        <w:rPr>
          <w:rFonts w:hint="default" w:ascii="Times New Roman" w:hAnsi="Times New Roman" w:eastAsia="仿宋_GB2312" w:cs="Times New Roman"/>
          <w:sz w:val="32"/>
          <w:lang w:eastAsia="zh-CN"/>
        </w:rPr>
        <w:t>日均审方数量控制在300张以内</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lang w:eastAsia="zh-CN"/>
        </w:rPr>
        <w:t>超过日均审方数量上限时</w:t>
      </w:r>
      <w:r>
        <w:rPr>
          <w:rFonts w:hint="eastAsia" w:ascii="Times New Roman" w:hAnsi="Times New Roman" w:eastAsia="仿宋_GB2312" w:cs="Times New Roman"/>
          <w:sz w:val="32"/>
          <w:lang w:eastAsia="zh-CN"/>
        </w:rPr>
        <w:t>，鼓励企业</w:t>
      </w:r>
      <w:r>
        <w:rPr>
          <w:rFonts w:hint="default" w:ascii="Times New Roman" w:hAnsi="Times New Roman" w:eastAsia="仿宋_GB2312" w:cs="Times New Roman"/>
          <w:sz w:val="32"/>
          <w:lang w:eastAsia="zh-CN"/>
        </w:rPr>
        <w:t>对审方质量和审方行为加强监控。</w:t>
      </w:r>
    </w:p>
    <w:p w14:paraId="0B82C933">
      <w:pPr>
        <w:keepNext w:val="0"/>
        <w:keepLines w:val="0"/>
        <w:pageBreakBefore w:val="0"/>
        <w:widowControl w:val="0"/>
        <w:numPr>
          <w:ilvl w:val="0"/>
          <w:numId w:val="2"/>
        </w:numPr>
        <w:tabs>
          <w:tab w:val="clear" w:pos="0"/>
        </w:tabs>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cs="Times New Roman"/>
          <w:sz w:val="32"/>
          <w:lang w:eastAsia="zh-CN"/>
        </w:rPr>
      </w:pPr>
      <w:r>
        <w:rPr>
          <w:rFonts w:hint="eastAsia" w:ascii="黑体" w:hAnsi="黑体" w:eastAsia="黑体" w:cs="黑体"/>
          <w:sz w:val="32"/>
          <w:lang w:eastAsia="zh-CN"/>
        </w:rPr>
        <w:t>【拒绝调配和销售</w:t>
      </w:r>
      <w:r>
        <w:rPr>
          <w:rFonts w:hint="default" w:ascii="黑体" w:hAnsi="黑体" w:eastAsia="黑体" w:cs="黑体"/>
          <w:sz w:val="32"/>
          <w:lang w:val="en-US" w:eastAsia="zh-CN"/>
        </w:rPr>
        <w:t xml:space="preserve">】  </w:t>
      </w:r>
      <w:r>
        <w:rPr>
          <w:rFonts w:hint="eastAsia" w:ascii="Times New Roman" w:hAnsi="Times New Roman" w:eastAsia="仿宋_GB2312" w:cs="Times New Roman"/>
          <w:sz w:val="32"/>
          <w:lang w:eastAsia="zh-CN"/>
        </w:rPr>
        <w:t>有下列情形之一的，药品网络零售企业</w:t>
      </w:r>
      <w:r>
        <w:rPr>
          <w:rFonts w:hint="eastAsia" w:ascii="Times New Roman" w:hAnsi="Times New Roman" w:eastAsia="仿宋_GB2312" w:cs="Times New Roman"/>
          <w:sz w:val="32"/>
          <w:lang w:val="en-US" w:eastAsia="zh-CN"/>
        </w:rPr>
        <w:t>应当</w:t>
      </w:r>
      <w:r>
        <w:rPr>
          <w:rFonts w:hint="eastAsia" w:ascii="Times New Roman" w:hAnsi="Times New Roman" w:eastAsia="仿宋_GB2312" w:cs="Times New Roman"/>
          <w:sz w:val="32"/>
          <w:lang w:eastAsia="zh-CN"/>
        </w:rPr>
        <w:t>拒绝处方调配：</w:t>
      </w:r>
    </w:p>
    <w:p w14:paraId="2B9D2D7A">
      <w:pPr>
        <w:keepNext w:val="0"/>
        <w:keepLines w:val="0"/>
        <w:pageBreakBefore w:val="0"/>
        <w:widowControl w:val="0"/>
        <w:numPr>
          <w:ilvl w:val="0"/>
          <w:numId w:val="4"/>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trike w:val="0"/>
          <w:color w:val="auto"/>
          <w:sz w:val="32"/>
        </w:rPr>
      </w:pPr>
      <w:r>
        <w:rPr>
          <w:rFonts w:hint="eastAsia" w:ascii="Times New Roman" w:hAnsi="Times New Roman" w:eastAsia="仿宋_GB2312"/>
          <w:strike w:val="0"/>
          <w:color w:val="auto"/>
          <w:sz w:val="32"/>
        </w:rPr>
        <w:t>伪造的虚假处方；</w:t>
      </w:r>
    </w:p>
    <w:p w14:paraId="106814DB">
      <w:pPr>
        <w:keepNext w:val="0"/>
        <w:keepLines w:val="0"/>
        <w:pageBreakBefore w:val="0"/>
        <w:widowControl w:val="0"/>
        <w:numPr>
          <w:ilvl w:val="0"/>
          <w:numId w:val="4"/>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已被篡改内容或已被标记使用的处方；</w:t>
      </w:r>
    </w:p>
    <w:p w14:paraId="09CDAB58">
      <w:pPr>
        <w:keepNext w:val="0"/>
        <w:keepLines w:val="0"/>
        <w:pageBreakBefore w:val="0"/>
        <w:widowControl w:val="0"/>
        <w:numPr>
          <w:ilvl w:val="0"/>
          <w:numId w:val="4"/>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存在严重不合理用药或者用药错误的处方</w:t>
      </w:r>
      <w:r>
        <w:rPr>
          <w:rFonts w:hint="eastAsia" w:ascii="Times New Roman" w:hAnsi="Times New Roman" w:eastAsia="仿宋_GB2312"/>
          <w:sz w:val="32"/>
          <w:lang w:eastAsia="zh-CN"/>
        </w:rPr>
        <w:t>。</w:t>
      </w:r>
    </w:p>
    <w:p w14:paraId="4E40D6BD">
      <w:pPr>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有下列情形之一的，药品网络零售企业</w:t>
      </w:r>
      <w:r>
        <w:rPr>
          <w:rFonts w:hint="eastAsia" w:ascii="Times New Roman" w:hAnsi="Times New Roman" w:eastAsia="仿宋_GB2312"/>
          <w:sz w:val="32"/>
          <w:lang w:eastAsia="zh-CN"/>
        </w:rPr>
        <w:t>可以</w:t>
      </w:r>
      <w:r>
        <w:rPr>
          <w:rFonts w:hint="eastAsia" w:ascii="Times New Roman" w:hAnsi="Times New Roman" w:eastAsia="仿宋_GB2312"/>
          <w:sz w:val="32"/>
        </w:rPr>
        <w:t>拒绝处方调配：</w:t>
      </w:r>
    </w:p>
    <w:p w14:paraId="6EEE29FF">
      <w:pPr>
        <w:keepNext w:val="0"/>
        <w:keepLines w:val="0"/>
        <w:pageBreakBefore w:val="0"/>
        <w:widowControl w:val="0"/>
        <w:numPr>
          <w:ilvl w:val="0"/>
          <w:numId w:val="5"/>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无适应症或超说明书用药的处方；</w:t>
      </w:r>
    </w:p>
    <w:p w14:paraId="0ED8F3A9">
      <w:pPr>
        <w:keepNext w:val="0"/>
        <w:keepLines w:val="0"/>
        <w:pageBreakBefore w:val="0"/>
        <w:widowControl w:val="0"/>
        <w:numPr>
          <w:ilvl w:val="0"/>
          <w:numId w:val="5"/>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超出所依托的实体医疗机构诊疗科目范围或医师执业范围开具的处方；</w:t>
      </w:r>
    </w:p>
    <w:p w14:paraId="774419BA">
      <w:pPr>
        <w:keepNext w:val="0"/>
        <w:keepLines w:val="0"/>
        <w:pageBreakBefore w:val="0"/>
        <w:widowControl w:val="0"/>
        <w:numPr>
          <w:ilvl w:val="0"/>
          <w:numId w:val="5"/>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rPr>
        <w:t>短时间内</w:t>
      </w:r>
      <w:r>
        <w:rPr>
          <w:rFonts w:hint="eastAsia" w:ascii="Times New Roman" w:hAnsi="Times New Roman" w:eastAsia="仿宋_GB2312"/>
          <w:sz w:val="32"/>
          <w:lang w:eastAsia="zh-CN"/>
        </w:rPr>
        <w:t>同一账号</w:t>
      </w:r>
      <w:r>
        <w:rPr>
          <w:rFonts w:hint="eastAsia" w:ascii="Times New Roman" w:hAnsi="Times New Roman" w:eastAsia="仿宋_GB2312"/>
          <w:sz w:val="32"/>
        </w:rPr>
        <w:t>大量、多次购买同类药品的处方；</w:t>
      </w:r>
    </w:p>
    <w:p w14:paraId="30E461B6">
      <w:pPr>
        <w:keepNext w:val="0"/>
        <w:keepLines w:val="0"/>
        <w:pageBreakBefore w:val="0"/>
        <w:widowControl w:val="0"/>
        <w:numPr>
          <w:ilvl w:val="0"/>
          <w:numId w:val="5"/>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rPr>
        <w:t>不规范处方或者不能判定其合法性的处方。</w:t>
      </w:r>
    </w:p>
    <w:p w14:paraId="03DA47E7">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lang w:eastAsia="zh-CN"/>
        </w:rPr>
      </w:pPr>
      <w:r>
        <w:rPr>
          <w:rFonts w:hint="eastAsia" w:ascii="黑体" w:hAnsi="黑体" w:eastAsia="黑体" w:cs="黑体"/>
          <w:sz w:val="32"/>
          <w:lang w:eastAsia="zh-CN"/>
        </w:rPr>
        <w:t>【交付准备</w:t>
      </w:r>
      <w:r>
        <w:rPr>
          <w:rFonts w:hint="default" w:ascii="黑体" w:hAnsi="黑体" w:eastAsia="黑体" w:cs="黑体"/>
          <w:sz w:val="32"/>
          <w:lang w:val="en-US" w:eastAsia="zh-CN"/>
        </w:rPr>
        <w:t xml:space="preserve">】  </w:t>
      </w:r>
      <w:r>
        <w:rPr>
          <w:rFonts w:hint="eastAsia" w:ascii="Times New Roman" w:hAnsi="Times New Roman" w:eastAsia="仿宋_GB2312"/>
          <w:sz w:val="32"/>
          <w:lang w:eastAsia="zh-CN"/>
        </w:rPr>
        <w:t>处方审核完成后，药品网络零售企业</w:t>
      </w:r>
      <w:r>
        <w:rPr>
          <w:rFonts w:hint="eastAsia" w:ascii="Times New Roman" w:hAnsi="Times New Roman" w:eastAsia="仿宋_GB2312"/>
          <w:sz w:val="32"/>
          <w:lang w:val="en-US" w:eastAsia="zh-CN"/>
        </w:rPr>
        <w:t>应当</w:t>
      </w:r>
      <w:r>
        <w:rPr>
          <w:rFonts w:hint="eastAsia" w:ascii="Times New Roman" w:hAnsi="Times New Roman" w:eastAsia="仿宋_GB2312"/>
          <w:sz w:val="32"/>
          <w:lang w:eastAsia="zh-CN"/>
        </w:rPr>
        <w:t>按照处方内容准确调配药品。调配药品时，要认真检查药品的外观质量和有效期，</w:t>
      </w:r>
      <w:r>
        <w:rPr>
          <w:rFonts w:hint="eastAsia" w:ascii="Times New Roman" w:hAnsi="Times New Roman" w:eastAsia="仿宋_GB2312"/>
          <w:sz w:val="32"/>
        </w:rPr>
        <w:t>根据药品的体积、重量、储存条件等选取适宜的包装物及填充材料，保证配送过程中包装不易损坏或变形，防止包装内药品出现破碎、被污染等情形</w:t>
      </w:r>
      <w:r>
        <w:rPr>
          <w:rFonts w:hint="eastAsia" w:ascii="Times New Roman" w:hAnsi="Times New Roman" w:eastAsia="仿宋_GB2312"/>
          <w:sz w:val="32"/>
          <w:lang w:eastAsia="zh-CN"/>
        </w:rPr>
        <w:t>。</w:t>
      </w:r>
    </w:p>
    <w:p w14:paraId="17592B43">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cs="Times New Roman"/>
          <w:sz w:val="32"/>
          <w:lang w:eastAsia="zh-CN"/>
        </w:rPr>
      </w:pPr>
      <w:r>
        <w:rPr>
          <w:rFonts w:hint="eastAsia" w:ascii="黑体" w:hAnsi="黑体" w:eastAsia="黑体" w:cs="黑体"/>
          <w:sz w:val="32"/>
          <w:lang w:eastAsia="zh-CN"/>
        </w:rPr>
        <w:t>【用药</w:t>
      </w:r>
      <w:r>
        <w:rPr>
          <w:rFonts w:hint="eastAsia" w:ascii="黑体" w:hAnsi="黑体" w:eastAsia="黑体" w:cs="黑体"/>
          <w:sz w:val="32"/>
          <w:lang w:val="en-US" w:eastAsia="zh-CN"/>
        </w:rPr>
        <w:t>指导</w:t>
      </w:r>
      <w:r>
        <w:rPr>
          <w:rFonts w:hint="default" w:ascii="黑体" w:hAnsi="黑体" w:eastAsia="黑体" w:cs="黑体"/>
          <w:sz w:val="32"/>
          <w:lang w:val="en-US" w:eastAsia="zh-CN"/>
        </w:rPr>
        <w:t xml:space="preserve">】  </w:t>
      </w:r>
      <w:r>
        <w:rPr>
          <w:rFonts w:hint="eastAsia" w:ascii="Times New Roman" w:hAnsi="Times New Roman" w:eastAsia="仿宋_GB2312" w:cs="Times New Roman"/>
          <w:sz w:val="32"/>
        </w:rPr>
        <w:t>药品网络零售企业</w:t>
      </w:r>
      <w:r>
        <w:rPr>
          <w:rFonts w:hint="eastAsia" w:ascii="Times New Roman" w:hAnsi="Times New Roman" w:eastAsia="仿宋_GB2312" w:cs="Times New Roman"/>
          <w:sz w:val="32"/>
          <w:lang w:eastAsia="zh-CN"/>
        </w:rPr>
        <w:t>需要</w:t>
      </w:r>
      <w:r>
        <w:rPr>
          <w:rFonts w:hint="eastAsia" w:ascii="Times New Roman" w:hAnsi="Times New Roman" w:eastAsia="仿宋_GB2312" w:cs="Times New Roman"/>
          <w:sz w:val="32"/>
        </w:rPr>
        <w:t>按照药品说明书或者处方用法向消费者进行用药</w:t>
      </w:r>
      <w:r>
        <w:rPr>
          <w:rFonts w:hint="eastAsia" w:ascii="Times New Roman" w:hAnsi="Times New Roman" w:eastAsia="仿宋_GB2312" w:cs="Times New Roman"/>
          <w:sz w:val="32"/>
          <w:lang w:eastAsia="zh-CN"/>
        </w:rPr>
        <w:t>指导</w:t>
      </w:r>
      <w:r>
        <w:rPr>
          <w:rFonts w:hint="eastAsia" w:ascii="Times New Roman" w:hAnsi="Times New Roman" w:eastAsia="仿宋_GB2312" w:cs="Times New Roman"/>
          <w:sz w:val="32"/>
        </w:rPr>
        <w:t>，包括每种药品的用法用量、注意事项等。</w:t>
      </w:r>
    </w:p>
    <w:p w14:paraId="76D13BF7">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黑体" w:hAnsi="黑体" w:eastAsia="黑体" w:cs="黑体"/>
          <w:sz w:val="32"/>
          <w:lang w:eastAsia="zh-CN"/>
        </w:rPr>
      </w:pPr>
      <w:r>
        <w:rPr>
          <w:rFonts w:hint="eastAsia" w:ascii="黑体" w:hAnsi="黑体" w:eastAsia="黑体" w:cs="黑体"/>
          <w:sz w:val="32"/>
          <w:lang w:eastAsia="zh-CN"/>
        </w:rPr>
        <w:t>【销售凭证</w:t>
      </w:r>
      <w:r>
        <w:rPr>
          <w:rFonts w:hint="default" w:ascii="黑体" w:hAnsi="黑体" w:eastAsia="黑体" w:cs="黑体"/>
          <w:sz w:val="32"/>
          <w:lang w:val="en-US" w:eastAsia="zh-CN"/>
        </w:rPr>
        <w:t xml:space="preserve">】  </w:t>
      </w:r>
      <w:r>
        <w:rPr>
          <w:rFonts w:hint="eastAsia" w:ascii="Times New Roman" w:hAnsi="Times New Roman" w:eastAsia="仿宋_GB2312"/>
          <w:sz w:val="32"/>
          <w:lang w:eastAsia="zh-CN"/>
        </w:rPr>
        <w:t>药品网络零售企业应当按照规定出具销售凭证。销售凭证可以以电子形式出具，药品最小销售单元的销售记录应当清晰留存，确保可追溯。</w:t>
      </w:r>
    </w:p>
    <w:p w14:paraId="05A508E0">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黑体" w:hAnsi="黑体" w:eastAsia="黑体" w:cs="黑体"/>
          <w:sz w:val="32"/>
          <w:lang w:eastAsia="zh-CN"/>
        </w:rPr>
      </w:pPr>
      <w:r>
        <w:rPr>
          <w:rFonts w:hint="eastAsia" w:ascii="黑体" w:hAnsi="黑体" w:eastAsia="黑体" w:cs="黑体"/>
          <w:sz w:val="32"/>
          <w:lang w:eastAsia="zh-CN"/>
        </w:rPr>
        <w:t>【自提交付</w:t>
      </w:r>
      <w:r>
        <w:rPr>
          <w:rFonts w:hint="default" w:ascii="黑体" w:hAnsi="黑体" w:eastAsia="黑体" w:cs="黑体"/>
          <w:sz w:val="32"/>
          <w:lang w:val="en-US" w:eastAsia="zh-CN"/>
        </w:rPr>
        <w:t xml:space="preserve">】  </w:t>
      </w:r>
      <w:r>
        <w:rPr>
          <w:rFonts w:hint="eastAsia" w:ascii="Times New Roman" w:hAnsi="Times New Roman" w:eastAsia="仿宋_GB2312"/>
          <w:sz w:val="32"/>
          <w:lang w:eastAsia="zh-CN"/>
        </w:rPr>
        <w:t>通过门店自提方式交付药品的，鼓励药品网络零售企业提醒消费者现场核对药品名称、包装、数量、有效期、追溯码等信息。</w:t>
      </w:r>
    </w:p>
    <w:p w14:paraId="3152B74D">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黑体" w:hAnsi="黑体" w:eastAsia="黑体" w:cs="黑体"/>
          <w:sz w:val="32"/>
          <w:lang w:eastAsia="zh-CN"/>
        </w:rPr>
      </w:pPr>
      <w:r>
        <w:rPr>
          <w:rFonts w:hint="eastAsia" w:ascii="黑体" w:hAnsi="黑体" w:eastAsia="黑体" w:cs="黑体"/>
          <w:sz w:val="32"/>
          <w:lang w:eastAsia="zh-CN"/>
        </w:rPr>
        <w:t>【配送交付</w:t>
      </w:r>
      <w:r>
        <w:rPr>
          <w:rFonts w:hint="default" w:ascii="黑体" w:hAnsi="黑体" w:eastAsia="黑体" w:cs="黑体"/>
          <w:sz w:val="32"/>
          <w:lang w:val="en-US" w:eastAsia="zh-CN"/>
        </w:rPr>
        <w:t xml:space="preserve">】  </w:t>
      </w:r>
      <w:r>
        <w:rPr>
          <w:rFonts w:hint="eastAsia" w:ascii="Times New Roman" w:hAnsi="Times New Roman" w:eastAsia="仿宋_GB2312"/>
          <w:sz w:val="32"/>
          <w:lang w:eastAsia="zh-CN"/>
        </w:rPr>
        <w:t>通过配送方式向消费者交付药品的，药品网络零售企业要按照规定对选取的配送工具、配送方式和配送条件等进行符合性检查，确保能够满足药品储存运输过程的质量管理要求，以及药品配送全过程质量可控、可追溯。通过配送方式向消费者交付药品时，避免药品的发货地址与企业药品经营许可证上载明的经营地址或仓库地址不一致。</w:t>
      </w:r>
    </w:p>
    <w:p w14:paraId="3989F012">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黑体" w:hAnsi="黑体" w:eastAsia="黑体" w:cs="黑体"/>
          <w:sz w:val="32"/>
          <w:lang w:eastAsia="zh-CN"/>
        </w:rPr>
      </w:pPr>
      <w:r>
        <w:rPr>
          <w:rFonts w:hint="eastAsia" w:ascii="黑体" w:hAnsi="黑体" w:eastAsia="黑体" w:cs="黑体"/>
          <w:sz w:val="32"/>
          <w:lang w:eastAsia="zh-CN"/>
        </w:rPr>
        <w:t>【追溯要求</w:t>
      </w:r>
      <w:r>
        <w:rPr>
          <w:rFonts w:hint="default" w:ascii="黑体" w:hAnsi="黑体" w:eastAsia="黑体" w:cs="黑体"/>
          <w:sz w:val="32"/>
          <w:lang w:val="en-US" w:eastAsia="zh-CN"/>
        </w:rPr>
        <w:t xml:space="preserve">】  </w:t>
      </w:r>
      <w:r>
        <w:rPr>
          <w:rFonts w:hint="eastAsia" w:ascii="Times New Roman" w:hAnsi="Times New Roman" w:eastAsia="仿宋_GB2312"/>
          <w:sz w:val="32"/>
          <w:lang w:eastAsia="zh-CN"/>
        </w:rPr>
        <w:t>药品网络零售企业需要按照规定做好处方药的出入库审核，扫描查验药品追溯码，确保产品合法、渠道合规。</w:t>
      </w:r>
      <w:r>
        <w:rPr>
          <w:rFonts w:hint="eastAsia" w:ascii="Times New Roman" w:hAnsi="Times New Roman" w:eastAsia="仿宋_GB2312"/>
          <w:sz w:val="32"/>
          <w:lang w:val="en-US" w:eastAsia="zh-CN"/>
        </w:rPr>
        <w:t>不得</w:t>
      </w:r>
      <w:r>
        <w:rPr>
          <w:rFonts w:hint="eastAsia" w:ascii="Times New Roman" w:hAnsi="Times New Roman" w:eastAsia="仿宋_GB2312"/>
          <w:sz w:val="32"/>
          <w:lang w:eastAsia="zh-CN"/>
        </w:rPr>
        <w:t>购入或销售</w:t>
      </w:r>
      <w:r>
        <w:rPr>
          <w:rFonts w:hint="eastAsia" w:ascii="Times New Roman" w:hAnsi="Times New Roman" w:eastAsia="仿宋_GB2312"/>
          <w:sz w:val="32"/>
        </w:rPr>
        <w:t>不符合药品标准、购销渠道不清晰、产品包装有破损等</w:t>
      </w:r>
      <w:r>
        <w:rPr>
          <w:rFonts w:hint="eastAsia" w:ascii="Times New Roman" w:hAnsi="Times New Roman" w:eastAsia="仿宋_GB2312"/>
          <w:sz w:val="32"/>
          <w:lang w:eastAsia="zh-CN"/>
        </w:rPr>
        <w:t>不符合规定的药品。</w:t>
      </w:r>
    </w:p>
    <w:p w14:paraId="3AEC0971">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sz w:val="32"/>
          <w:lang w:eastAsia="zh-CN"/>
        </w:rPr>
      </w:pPr>
      <w:r>
        <w:rPr>
          <w:rFonts w:hint="eastAsia" w:ascii="黑体" w:hAnsi="黑体" w:eastAsia="黑体" w:cs="黑体"/>
          <w:sz w:val="32"/>
          <w:lang w:eastAsia="zh-CN"/>
        </w:rPr>
        <w:t>【记录保存</w:t>
      </w:r>
      <w:r>
        <w:rPr>
          <w:rFonts w:hint="default" w:ascii="黑体" w:hAnsi="黑体" w:eastAsia="黑体" w:cs="黑体"/>
          <w:sz w:val="32"/>
          <w:lang w:val="en-US" w:eastAsia="zh-CN"/>
        </w:rPr>
        <w:t xml:space="preserve">】  </w:t>
      </w:r>
      <w:r>
        <w:rPr>
          <w:rFonts w:hint="eastAsia" w:ascii="Times New Roman" w:hAnsi="Times New Roman" w:eastAsia="仿宋_GB2312"/>
          <w:sz w:val="32"/>
          <w:lang w:eastAsia="zh-CN"/>
        </w:rPr>
        <w:t>药品网络零售企业应当妥善保存</w:t>
      </w:r>
      <w:r>
        <w:rPr>
          <w:rFonts w:hint="eastAsia" w:ascii="Times New Roman" w:hAnsi="Times New Roman" w:eastAsia="仿宋_GB2312"/>
          <w:sz w:val="32"/>
        </w:rPr>
        <w:t>处方、在线药学服务等</w:t>
      </w:r>
      <w:r>
        <w:rPr>
          <w:rFonts w:hint="eastAsia" w:ascii="Times New Roman" w:hAnsi="Times New Roman" w:eastAsia="仿宋_GB2312"/>
          <w:sz w:val="32"/>
          <w:lang w:eastAsia="zh-CN"/>
        </w:rPr>
        <w:t>记录，</w:t>
      </w:r>
      <w:r>
        <w:rPr>
          <w:rFonts w:hint="eastAsia" w:ascii="Times New Roman" w:hAnsi="Times New Roman" w:eastAsia="仿宋_GB2312"/>
          <w:sz w:val="32"/>
          <w:lang w:val="en-US" w:eastAsia="zh-CN"/>
        </w:rPr>
        <w:t>鼓励</w:t>
      </w:r>
      <w:r>
        <w:rPr>
          <w:rFonts w:hint="eastAsia" w:ascii="Times New Roman" w:hAnsi="Times New Roman" w:eastAsia="仿宋_GB2312"/>
          <w:sz w:val="32"/>
          <w:lang w:eastAsia="zh-CN"/>
        </w:rPr>
        <w:t>药品网络零售企业</w:t>
      </w:r>
      <w:r>
        <w:rPr>
          <w:rFonts w:hint="eastAsia" w:ascii="Times New Roman" w:hAnsi="Times New Roman" w:eastAsia="仿宋_GB2312"/>
          <w:sz w:val="32"/>
        </w:rPr>
        <w:t>在计算机系统内对线上线下的销售记录进行显著区分，并准确载明所销售的网络载体（网站、APP、平台、店铺）名称，确保线上销售记录与企业的实际购销记录、出入库记录保持一致。</w:t>
      </w:r>
    </w:p>
    <w:p w14:paraId="5ECBDAAD">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lang w:eastAsia="zh-CN"/>
        </w:rPr>
      </w:pPr>
      <w:r>
        <w:rPr>
          <w:rFonts w:hint="eastAsia" w:ascii="黑体" w:hAnsi="黑体" w:eastAsia="黑体" w:cs="黑体"/>
          <w:sz w:val="32"/>
          <w:lang w:eastAsia="zh-CN"/>
        </w:rPr>
        <w:t>【退货管理</w:t>
      </w:r>
      <w:r>
        <w:rPr>
          <w:rFonts w:hint="default" w:ascii="黑体" w:hAnsi="黑体" w:eastAsia="黑体" w:cs="黑体"/>
          <w:sz w:val="32"/>
          <w:lang w:val="en-US" w:eastAsia="zh-CN"/>
        </w:rPr>
        <w:t xml:space="preserve">】  </w:t>
      </w:r>
      <w:r>
        <w:rPr>
          <w:rFonts w:hint="eastAsia" w:ascii="Times New Roman" w:hAnsi="Times New Roman" w:eastAsia="仿宋_GB2312"/>
          <w:sz w:val="32"/>
          <w:lang w:eastAsia="zh-CN"/>
        </w:rPr>
        <w:t>药品在送达时发生不予签收或者售后发生退货的情况，按照《药品经营质量管理规范》及其附录的有关要求处理。</w:t>
      </w:r>
    </w:p>
    <w:p w14:paraId="45000D37">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sz w:val="32"/>
        </w:rPr>
      </w:pPr>
    </w:p>
    <w:p w14:paraId="1C51AC94">
      <w:pPr>
        <w:keepNext w:val="0"/>
        <w:keepLines w:val="0"/>
        <w:pageBreakBefore w:val="0"/>
        <w:widowControl w:val="0"/>
        <w:numPr>
          <w:ilvl w:val="0"/>
          <w:numId w:val="3"/>
        </w:numPr>
        <w:kinsoku/>
        <w:wordWrap/>
        <w:overflowPunct/>
        <w:topLinePunct w:val="0"/>
        <w:autoSpaceDE/>
        <w:autoSpaceDN/>
        <w:bidi w:val="0"/>
        <w:adjustRightInd/>
        <w:snapToGrid/>
        <w:spacing w:beforeLines="0" w:line="560" w:lineRule="exact"/>
        <w:ind w:firstLine="0" w:firstLineChars="0"/>
        <w:jc w:val="center"/>
        <w:textAlignment w:val="auto"/>
        <w:outlineLvl w:val="0"/>
        <w:rPr>
          <w:rFonts w:hint="eastAsia" w:ascii="方正小标宋简体" w:hAnsi="方正小标宋简体" w:eastAsia="方正小标宋简体" w:cs="方正小标宋简体"/>
          <w:sz w:val="32"/>
          <w:lang w:eastAsia="zh-CN"/>
        </w:rPr>
      </w:pPr>
      <w:r>
        <w:rPr>
          <w:rFonts w:hint="eastAsia" w:ascii="方正小标宋简体" w:hAnsi="方正小标宋简体" w:eastAsia="方正小标宋简体" w:cs="方正小标宋简体"/>
          <w:sz w:val="32"/>
          <w:lang w:val="en-US" w:eastAsia="zh-CN"/>
        </w:rPr>
        <w:t xml:space="preserve"> </w:t>
      </w:r>
      <w:r>
        <w:rPr>
          <w:rFonts w:hint="eastAsia" w:ascii="方正小标宋简体" w:hAnsi="方正小标宋简体" w:eastAsia="方正小标宋简体" w:cs="方正小标宋简体"/>
          <w:sz w:val="32"/>
          <w:lang w:eastAsia="zh-CN"/>
        </w:rPr>
        <w:t>平台管理的合规要求</w:t>
      </w:r>
    </w:p>
    <w:p w14:paraId="1A0690A6">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黑体" w:hAnsi="黑体" w:eastAsia="黑体" w:cs="黑体"/>
          <w:sz w:val="32"/>
          <w:lang w:eastAsia="zh-CN"/>
        </w:rPr>
      </w:pPr>
      <w:r>
        <w:rPr>
          <w:rFonts w:hint="eastAsia" w:ascii="黑体" w:hAnsi="黑体" w:eastAsia="黑体" w:cs="黑体"/>
          <w:sz w:val="32"/>
          <w:lang w:eastAsia="zh-CN"/>
        </w:rPr>
        <w:t>【机构人员</w:t>
      </w:r>
      <w:r>
        <w:rPr>
          <w:rFonts w:hint="default" w:ascii="黑体" w:hAnsi="黑体" w:eastAsia="黑体" w:cs="黑体"/>
          <w:sz w:val="32"/>
          <w:lang w:val="en-US" w:eastAsia="zh-CN"/>
        </w:rPr>
        <w:t xml:space="preserve">】  </w:t>
      </w:r>
      <w:r>
        <w:rPr>
          <w:rFonts w:hint="eastAsia" w:ascii="Times New Roman" w:hAnsi="Times New Roman" w:eastAsia="仿宋_GB2312"/>
          <w:sz w:val="32"/>
          <w:lang w:eastAsia="zh-CN"/>
        </w:rPr>
        <w:t>第三方平台应当建立药品质量安全管理机构，配备药学技术人员承担药品质量安全管理工作，对平台内处方药的信息展示和经营活动履行管理责任。</w:t>
      </w:r>
    </w:p>
    <w:p w14:paraId="2A64B58C">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黑体" w:hAnsi="黑体" w:eastAsia="黑体" w:cs="黑体"/>
          <w:sz w:val="32"/>
          <w:lang w:eastAsia="zh-CN"/>
        </w:rPr>
      </w:pPr>
      <w:r>
        <w:rPr>
          <w:rFonts w:hint="eastAsia" w:ascii="黑体" w:hAnsi="黑体" w:eastAsia="黑体" w:cs="黑体"/>
          <w:sz w:val="32"/>
          <w:lang w:eastAsia="zh-CN"/>
        </w:rPr>
        <w:t>【体系建设</w:t>
      </w:r>
      <w:r>
        <w:rPr>
          <w:rFonts w:hint="default" w:ascii="黑体" w:hAnsi="黑体" w:eastAsia="黑体" w:cs="黑体"/>
          <w:sz w:val="32"/>
          <w:lang w:val="en-US" w:eastAsia="zh-CN"/>
        </w:rPr>
        <w:t xml:space="preserve">】  </w:t>
      </w:r>
      <w:r>
        <w:rPr>
          <w:rFonts w:hint="eastAsia" w:ascii="Times New Roman" w:hAnsi="Times New Roman" w:eastAsia="仿宋_GB2312" w:cs="Times New Roman"/>
          <w:sz w:val="32"/>
          <w:lang w:eastAsia="zh-CN"/>
        </w:rPr>
        <w:t>鼓励</w:t>
      </w:r>
      <w:r>
        <w:rPr>
          <w:rFonts w:hint="eastAsia" w:ascii="Times New Roman" w:hAnsi="Times New Roman" w:eastAsia="仿宋_GB2312"/>
          <w:sz w:val="32"/>
          <w:lang w:eastAsia="zh-CN"/>
        </w:rPr>
        <w:t>第三方平台在日常管理过程中持续完善处方药网络</w:t>
      </w:r>
      <w:r>
        <w:rPr>
          <w:rFonts w:hint="eastAsia" w:ascii="Times New Roman" w:hAnsi="Times New Roman" w:eastAsia="仿宋_GB2312"/>
          <w:sz w:val="32"/>
          <w:lang w:val="en-US" w:eastAsia="zh-CN"/>
        </w:rPr>
        <w:t>零</w:t>
      </w:r>
      <w:r>
        <w:rPr>
          <w:rFonts w:hint="eastAsia" w:ascii="Times New Roman" w:hAnsi="Times New Roman" w:eastAsia="仿宋_GB2312"/>
          <w:sz w:val="32"/>
          <w:lang w:eastAsia="zh-CN"/>
        </w:rPr>
        <w:t>售质量管理体系，规范平台内处方流转和处方审核流程，为患者提供必要的用药指导。运用技术手段及时识别、拦截通过平台流转的人工智能处方和虚假处方，切实保障患者用药安全。</w:t>
      </w:r>
    </w:p>
    <w:p w14:paraId="3D837F62">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lang w:eastAsia="zh-CN"/>
        </w:rPr>
      </w:pPr>
      <w:r>
        <w:rPr>
          <w:rFonts w:hint="eastAsia" w:ascii="黑体" w:hAnsi="黑体" w:eastAsia="黑体" w:cs="黑体"/>
          <w:sz w:val="32"/>
          <w:lang w:eastAsia="zh-CN"/>
        </w:rPr>
        <w:t>【识别拦截</w:t>
      </w:r>
      <w:r>
        <w:rPr>
          <w:rFonts w:hint="default" w:ascii="黑体" w:hAnsi="黑体" w:eastAsia="黑体" w:cs="黑体"/>
          <w:sz w:val="32"/>
          <w:lang w:val="en-US" w:eastAsia="zh-CN"/>
        </w:rPr>
        <w:t xml:space="preserve">】  </w:t>
      </w:r>
      <w:r>
        <w:rPr>
          <w:rFonts w:hint="eastAsia" w:ascii="Times New Roman" w:hAnsi="Times New Roman" w:eastAsia="仿宋_GB2312"/>
          <w:sz w:val="32"/>
          <w:lang w:eastAsia="zh-CN"/>
        </w:rPr>
        <w:t>第三方平台应当</w:t>
      </w:r>
      <w:r>
        <w:rPr>
          <w:rFonts w:hint="eastAsia" w:ascii="Times New Roman" w:hAnsi="Times New Roman" w:eastAsia="仿宋_GB2312"/>
          <w:sz w:val="32"/>
          <w:lang w:val="en-US" w:eastAsia="zh-CN"/>
        </w:rPr>
        <w:t>加强</w:t>
      </w:r>
      <w:r>
        <w:rPr>
          <w:rFonts w:hint="eastAsia" w:ascii="Times New Roman" w:hAnsi="Times New Roman" w:eastAsia="仿宋_GB2312"/>
          <w:sz w:val="32"/>
          <w:lang w:eastAsia="zh-CN"/>
        </w:rPr>
        <w:t>对</w:t>
      </w:r>
      <w:r>
        <w:rPr>
          <w:rFonts w:hint="eastAsia" w:ascii="Times New Roman" w:hAnsi="Times New Roman" w:eastAsia="仿宋_GB2312"/>
          <w:sz w:val="32"/>
          <w:lang w:val="en-US" w:eastAsia="zh-CN"/>
        </w:rPr>
        <w:t>入驻的药品网络零售企业资质进行审核，对</w:t>
      </w:r>
      <w:r>
        <w:rPr>
          <w:rFonts w:hint="eastAsia" w:ascii="Times New Roman" w:hAnsi="Times New Roman" w:eastAsia="仿宋_GB2312"/>
          <w:sz w:val="32"/>
          <w:lang w:eastAsia="zh-CN"/>
        </w:rPr>
        <w:t>平台内的处方药信息发布、处方审核、处方药销售等活动进行严格管理，</w:t>
      </w:r>
      <w:r>
        <w:rPr>
          <w:rFonts w:hint="eastAsia" w:ascii="Times New Roman" w:hAnsi="Times New Roman" w:eastAsia="仿宋_GB2312"/>
          <w:sz w:val="32"/>
          <w:lang w:val="en-US" w:eastAsia="zh-CN"/>
        </w:rPr>
        <w:t>确保</w:t>
      </w:r>
      <w:r>
        <w:rPr>
          <w:rFonts w:hint="eastAsia" w:ascii="Times New Roman" w:hAnsi="Times New Roman" w:eastAsia="仿宋_GB2312"/>
          <w:sz w:val="32"/>
          <w:lang w:eastAsia="zh-CN"/>
        </w:rPr>
        <w:t>平台展示上架的处方药</w:t>
      </w:r>
      <w:r>
        <w:rPr>
          <w:rFonts w:hint="eastAsia" w:ascii="Times New Roman" w:hAnsi="Times New Roman" w:eastAsia="仿宋_GB2312"/>
          <w:sz w:val="32"/>
          <w:lang w:val="en-US" w:eastAsia="zh-CN"/>
        </w:rPr>
        <w:t>信息</w:t>
      </w:r>
      <w:r>
        <w:rPr>
          <w:rFonts w:hint="eastAsia" w:ascii="Times New Roman" w:hAnsi="Times New Roman" w:eastAsia="仿宋_GB2312"/>
          <w:sz w:val="32"/>
          <w:lang w:eastAsia="zh-CN"/>
        </w:rPr>
        <w:t>的真实、</w:t>
      </w:r>
      <w:r>
        <w:rPr>
          <w:rFonts w:hint="eastAsia" w:ascii="Times New Roman" w:hAnsi="Times New Roman" w:eastAsia="仿宋_GB2312"/>
          <w:sz w:val="32"/>
          <w:lang w:val="en-US" w:eastAsia="zh-CN"/>
        </w:rPr>
        <w:t>准确</w:t>
      </w:r>
      <w:r>
        <w:rPr>
          <w:rFonts w:hint="eastAsia" w:ascii="Times New Roman" w:hAnsi="Times New Roman" w:eastAsia="仿宋_GB2312"/>
          <w:sz w:val="32"/>
          <w:lang w:eastAsia="zh-CN"/>
        </w:rPr>
        <w:t>、合法。</w:t>
      </w:r>
      <w:r>
        <w:rPr>
          <w:rFonts w:hint="eastAsia" w:ascii="Times New Roman" w:hAnsi="Times New Roman" w:eastAsia="仿宋_GB2312"/>
          <w:sz w:val="32"/>
        </w:rPr>
        <w:t>第三方平台</w:t>
      </w:r>
      <w:r>
        <w:rPr>
          <w:rFonts w:hint="eastAsia" w:ascii="Times New Roman" w:hAnsi="Times New Roman" w:eastAsia="仿宋_GB2312"/>
          <w:sz w:val="32"/>
          <w:lang w:eastAsia="zh-CN"/>
        </w:rPr>
        <w:t>重点对以下风险进行识别：</w:t>
      </w:r>
    </w:p>
    <w:p w14:paraId="307F5C50">
      <w:pPr>
        <w:keepNext w:val="0"/>
        <w:keepLines w:val="0"/>
        <w:pageBreakBefore w:val="0"/>
        <w:widowControl w:val="0"/>
        <w:numPr>
          <w:ilvl w:val="0"/>
          <w:numId w:val="6"/>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rPr>
        <w:t>无证无照经营药品；</w:t>
      </w:r>
    </w:p>
    <w:p w14:paraId="7FEEF341">
      <w:pPr>
        <w:keepNext w:val="0"/>
        <w:keepLines w:val="0"/>
        <w:pageBreakBefore w:val="0"/>
        <w:widowControl w:val="0"/>
        <w:numPr>
          <w:ilvl w:val="0"/>
          <w:numId w:val="6"/>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lang w:val="en-US" w:eastAsia="zh-CN"/>
        </w:rPr>
        <w:t>冒用、</w:t>
      </w:r>
      <w:r>
        <w:rPr>
          <w:rFonts w:hint="eastAsia" w:ascii="Times New Roman" w:hAnsi="Times New Roman" w:eastAsia="仿宋_GB2312"/>
          <w:sz w:val="32"/>
        </w:rPr>
        <w:t>伪造或篡改药品经营许可证、药品注册证书；</w:t>
      </w:r>
    </w:p>
    <w:p w14:paraId="020F2178">
      <w:pPr>
        <w:keepNext w:val="0"/>
        <w:keepLines w:val="0"/>
        <w:pageBreakBefore w:val="0"/>
        <w:widowControl w:val="0"/>
        <w:numPr>
          <w:ilvl w:val="0"/>
          <w:numId w:val="6"/>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rPr>
        <w:t>药品经营许可证、药品注册证书超出有效期或已被撤销、吊销、注销；</w:t>
      </w:r>
    </w:p>
    <w:p w14:paraId="267AFFCD">
      <w:pPr>
        <w:keepNext w:val="0"/>
        <w:keepLines w:val="0"/>
        <w:pageBreakBefore w:val="0"/>
        <w:widowControl w:val="0"/>
        <w:numPr>
          <w:ilvl w:val="0"/>
          <w:numId w:val="6"/>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rPr>
        <w:t>经营假劣药品；</w:t>
      </w:r>
    </w:p>
    <w:p w14:paraId="7B0E2E51">
      <w:pPr>
        <w:keepNext w:val="0"/>
        <w:keepLines w:val="0"/>
        <w:pageBreakBefore w:val="0"/>
        <w:widowControl w:val="0"/>
        <w:numPr>
          <w:ilvl w:val="0"/>
          <w:numId w:val="6"/>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rPr>
        <w:t>超出批准的经营范围或经营方式经营药品；</w:t>
      </w:r>
    </w:p>
    <w:p w14:paraId="65083195">
      <w:pPr>
        <w:keepNext w:val="0"/>
        <w:keepLines w:val="0"/>
        <w:pageBreakBefore w:val="0"/>
        <w:widowControl w:val="0"/>
        <w:numPr>
          <w:ilvl w:val="0"/>
          <w:numId w:val="6"/>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rPr>
        <w:t>宣称的适应症或者功能主治超出规定范围；</w:t>
      </w:r>
    </w:p>
    <w:p w14:paraId="31652EC9">
      <w:pPr>
        <w:keepNext w:val="0"/>
        <w:keepLines w:val="0"/>
        <w:pageBreakBefore w:val="0"/>
        <w:widowControl w:val="0"/>
        <w:numPr>
          <w:ilvl w:val="0"/>
          <w:numId w:val="6"/>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rPr>
        <w:t>经营《药品网络销售禁止清单》相关药品；</w:t>
      </w:r>
    </w:p>
    <w:p w14:paraId="35F9A711">
      <w:pPr>
        <w:keepNext w:val="0"/>
        <w:keepLines w:val="0"/>
        <w:pageBreakBefore w:val="0"/>
        <w:widowControl w:val="0"/>
        <w:numPr>
          <w:ilvl w:val="0"/>
          <w:numId w:val="6"/>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rPr>
        <w:t>经营未经注册批准的进口药品或无中文说明书、中文标签的进口药品；</w:t>
      </w:r>
    </w:p>
    <w:p w14:paraId="5317A3E3">
      <w:pPr>
        <w:keepNext w:val="0"/>
        <w:keepLines w:val="0"/>
        <w:pageBreakBefore w:val="0"/>
        <w:widowControl w:val="0"/>
        <w:numPr>
          <w:ilvl w:val="0"/>
          <w:numId w:val="6"/>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rPr>
        <w:t>将处方药错放至</w:t>
      </w:r>
      <w:r>
        <w:rPr>
          <w:rFonts w:hint="eastAsia" w:ascii="Times New Roman" w:hAnsi="Times New Roman" w:eastAsia="仿宋_GB2312"/>
          <w:sz w:val="32"/>
          <w:lang w:eastAsia="zh-CN"/>
        </w:rPr>
        <w:t>其他</w:t>
      </w:r>
      <w:r>
        <w:rPr>
          <w:rFonts w:hint="eastAsia" w:ascii="Times New Roman" w:hAnsi="Times New Roman" w:eastAsia="仿宋_GB2312"/>
          <w:sz w:val="32"/>
        </w:rPr>
        <w:t>商品类目；</w:t>
      </w:r>
    </w:p>
    <w:p w14:paraId="5615EC8C">
      <w:pPr>
        <w:keepNext w:val="0"/>
        <w:keepLines w:val="0"/>
        <w:pageBreakBefore w:val="0"/>
        <w:widowControl w:val="0"/>
        <w:numPr>
          <w:ilvl w:val="0"/>
          <w:numId w:val="6"/>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lang w:eastAsia="zh-CN"/>
        </w:rPr>
        <w:t>其他</w:t>
      </w:r>
      <w:r>
        <w:rPr>
          <w:rFonts w:hint="eastAsia" w:ascii="Times New Roman" w:hAnsi="Times New Roman" w:eastAsia="仿宋_GB2312"/>
          <w:sz w:val="32"/>
        </w:rPr>
        <w:t>需要重点关注的违法违规行为。</w:t>
      </w:r>
    </w:p>
    <w:p w14:paraId="6BA7BEFE">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eastAsia" w:ascii="Times New Roman" w:hAnsi="Times New Roman" w:eastAsia="仿宋_GB2312"/>
          <w:sz w:val="32"/>
          <w:lang w:eastAsia="zh-CN"/>
        </w:rPr>
      </w:pPr>
      <w:r>
        <w:rPr>
          <w:rFonts w:hint="eastAsia" w:ascii="Times New Roman" w:hAnsi="Times New Roman" w:eastAsia="仿宋_GB2312"/>
          <w:sz w:val="32"/>
          <w:lang w:val="en-US" w:eastAsia="zh-CN"/>
        </w:rPr>
        <w:t>鼓励</w:t>
      </w:r>
      <w:r>
        <w:rPr>
          <w:rFonts w:hint="eastAsia" w:ascii="Times New Roman" w:hAnsi="Times New Roman" w:eastAsia="仿宋_GB2312"/>
          <w:sz w:val="32"/>
        </w:rPr>
        <w:t>第三方平台根据实时掌握的舆情线索、监管要求、用户反馈、不良反应事件等信息，对可能危害公众用药安全的商家和产品及时采取风险管控</w:t>
      </w:r>
      <w:r>
        <w:rPr>
          <w:rFonts w:hint="eastAsia" w:ascii="Times New Roman" w:hAnsi="Times New Roman" w:eastAsia="仿宋_GB2312"/>
          <w:sz w:val="32"/>
          <w:lang w:eastAsia="zh-CN"/>
        </w:rPr>
        <w:t>，持续完善平台合规风险防范策略</w:t>
      </w:r>
      <w:r>
        <w:rPr>
          <w:rFonts w:hint="eastAsia" w:ascii="Times New Roman" w:hAnsi="Times New Roman" w:eastAsia="仿宋_GB2312"/>
          <w:sz w:val="32"/>
        </w:rPr>
        <w:t>。</w:t>
      </w:r>
    </w:p>
    <w:p w14:paraId="54E2BA5E">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lang w:eastAsia="zh-CN"/>
        </w:rPr>
      </w:pPr>
      <w:r>
        <w:rPr>
          <w:rFonts w:hint="eastAsia" w:ascii="黑体" w:hAnsi="黑体" w:eastAsia="黑体" w:cs="黑体"/>
          <w:sz w:val="32"/>
          <w:lang w:eastAsia="zh-CN"/>
        </w:rPr>
        <w:t>【能力审核</w:t>
      </w:r>
      <w:r>
        <w:rPr>
          <w:rFonts w:hint="default" w:ascii="黑体" w:hAnsi="黑体" w:eastAsia="黑体" w:cs="黑体"/>
          <w:sz w:val="32"/>
          <w:lang w:val="en-US" w:eastAsia="zh-CN"/>
        </w:rPr>
        <w:t xml:space="preserve">】  </w:t>
      </w:r>
      <w:r>
        <w:rPr>
          <w:rFonts w:hint="eastAsia" w:ascii="Times New Roman" w:hAnsi="Times New Roman" w:eastAsia="仿宋_GB2312"/>
          <w:sz w:val="32"/>
          <w:lang w:eastAsia="zh-CN"/>
        </w:rPr>
        <w:t>第三方平台应当对入驻的药品网络零售企业的</w:t>
      </w:r>
      <w:r>
        <w:rPr>
          <w:rFonts w:hint="eastAsia" w:ascii="Times New Roman" w:hAnsi="Times New Roman" w:eastAsia="仿宋_GB2312"/>
          <w:sz w:val="32"/>
          <w:lang w:val="en-US" w:eastAsia="zh-CN"/>
        </w:rPr>
        <w:t>资质、</w:t>
      </w:r>
      <w:r>
        <w:rPr>
          <w:rFonts w:hint="eastAsia" w:ascii="Times New Roman" w:hAnsi="Times New Roman" w:eastAsia="仿宋_GB2312"/>
          <w:sz w:val="32"/>
          <w:lang w:eastAsia="zh-CN"/>
        </w:rPr>
        <w:t>质量安全保证能力等方面开展审核，建立处方药网络零售企业登记档案，至少每六个月</w:t>
      </w:r>
      <w:r>
        <w:rPr>
          <w:rFonts w:hint="eastAsia" w:ascii="Times New Roman" w:hAnsi="Times New Roman" w:eastAsia="仿宋_GB2312"/>
          <w:sz w:val="32"/>
        </w:rPr>
        <w:t>对平台内全部</w:t>
      </w:r>
      <w:r>
        <w:rPr>
          <w:rFonts w:hint="eastAsia" w:ascii="Times New Roman" w:hAnsi="Times New Roman" w:eastAsia="仿宋_GB2312"/>
          <w:sz w:val="32"/>
          <w:lang w:eastAsia="zh-CN"/>
        </w:rPr>
        <w:t>药品网络零售企业核验更新一次。</w:t>
      </w:r>
      <w:r>
        <w:rPr>
          <w:rFonts w:hint="eastAsia" w:ascii="Times New Roman" w:hAnsi="Times New Roman" w:eastAsia="仿宋_GB2312"/>
          <w:sz w:val="32"/>
          <w:lang w:val="en-US" w:eastAsia="zh-CN"/>
        </w:rPr>
        <w:t>鼓励平台建立内部分级分类管理制度，依据风险等级提高风险核验频次。</w:t>
      </w:r>
    </w:p>
    <w:p w14:paraId="77EBA05E">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shd w:val="clear" w:color="auto" w:fill="auto"/>
          <w:lang w:eastAsia="zh-CN"/>
        </w:rPr>
      </w:pPr>
      <w:r>
        <w:rPr>
          <w:rFonts w:hint="eastAsia" w:ascii="黑体" w:hAnsi="黑体" w:eastAsia="黑体" w:cs="黑体"/>
          <w:sz w:val="32"/>
          <w:shd w:val="clear" w:color="auto" w:fill="auto"/>
          <w:lang w:eastAsia="zh-CN"/>
        </w:rPr>
        <w:t>【防范交易风险</w:t>
      </w:r>
      <w:r>
        <w:rPr>
          <w:rFonts w:hint="default" w:ascii="黑体" w:hAnsi="黑体" w:eastAsia="黑体" w:cs="黑体"/>
          <w:sz w:val="32"/>
          <w:shd w:val="clear" w:color="auto" w:fill="auto"/>
          <w:lang w:val="en-US" w:eastAsia="zh-CN"/>
        </w:rPr>
        <w:t xml:space="preserve">】  </w:t>
      </w:r>
      <w:r>
        <w:rPr>
          <w:rFonts w:hint="eastAsia" w:ascii="Times New Roman" w:hAnsi="Times New Roman" w:eastAsia="仿宋_GB2312"/>
          <w:sz w:val="32"/>
          <w:shd w:val="clear" w:color="auto" w:fill="auto"/>
        </w:rPr>
        <w:t>经营未在国内批准上市的处方药或为其提供储存、运输等便利条件</w:t>
      </w:r>
      <w:r>
        <w:rPr>
          <w:rFonts w:hint="eastAsia" w:ascii="Times New Roman" w:hAnsi="Times New Roman" w:eastAsia="仿宋_GB2312"/>
          <w:sz w:val="32"/>
          <w:shd w:val="clear" w:color="auto" w:fill="auto"/>
          <w:lang w:eastAsia="zh-CN"/>
        </w:rPr>
        <w:t>属于</w:t>
      </w:r>
      <w:r>
        <w:rPr>
          <w:rFonts w:hint="eastAsia" w:ascii="Times New Roman" w:hAnsi="Times New Roman" w:eastAsia="仿宋_GB2312"/>
          <w:sz w:val="32"/>
          <w:shd w:val="clear" w:color="auto" w:fill="auto"/>
        </w:rPr>
        <w:t>违法行为。</w:t>
      </w:r>
      <w:r>
        <w:rPr>
          <w:rFonts w:hint="eastAsia" w:ascii="Times New Roman" w:hAnsi="Times New Roman" w:eastAsia="仿宋_GB2312"/>
          <w:sz w:val="32"/>
          <w:shd w:val="clear" w:color="auto" w:fill="auto"/>
          <w:lang w:eastAsia="zh-CN"/>
        </w:rPr>
        <w:t>平台</w:t>
      </w:r>
      <w:r>
        <w:rPr>
          <w:rFonts w:hint="eastAsia" w:ascii="Times New Roman" w:hAnsi="Times New Roman" w:eastAsia="仿宋_GB2312"/>
          <w:sz w:val="32"/>
          <w:shd w:val="clear" w:color="auto" w:fill="auto"/>
        </w:rPr>
        <w:t>为其提供展示、链接、跳转、结算等便利条件，存在严重的安全隐患和法律风险。</w:t>
      </w:r>
    </w:p>
    <w:p w14:paraId="06FD47FA">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黑体" w:hAnsi="黑体" w:eastAsia="黑体" w:cs="黑体"/>
          <w:sz w:val="32"/>
          <w:lang w:eastAsia="zh-CN"/>
        </w:rPr>
      </w:pPr>
      <w:r>
        <w:rPr>
          <w:rFonts w:hint="eastAsia" w:ascii="黑体" w:hAnsi="黑体" w:eastAsia="黑体" w:cs="黑体"/>
          <w:sz w:val="32"/>
          <w:lang w:eastAsia="zh-CN"/>
        </w:rPr>
        <w:t>【风险应对</w:t>
      </w:r>
      <w:r>
        <w:rPr>
          <w:rFonts w:hint="default" w:ascii="黑体" w:hAnsi="黑体" w:eastAsia="黑体" w:cs="黑体"/>
          <w:sz w:val="32"/>
          <w:lang w:val="en-US" w:eastAsia="zh-CN"/>
        </w:rPr>
        <w:t xml:space="preserve">】  </w:t>
      </w:r>
      <w:r>
        <w:rPr>
          <w:rFonts w:hint="eastAsia" w:ascii="Times New Roman" w:hAnsi="Times New Roman" w:eastAsia="仿宋_GB2312"/>
          <w:sz w:val="32"/>
          <w:lang w:eastAsia="zh-CN"/>
        </w:rPr>
        <w:t>第三方平台应当</w:t>
      </w:r>
      <w:r>
        <w:rPr>
          <w:rFonts w:hint="eastAsia" w:ascii="Times New Roman" w:hAnsi="Times New Roman" w:eastAsia="仿宋_GB2312"/>
          <w:sz w:val="32"/>
          <w:lang w:val="en-US" w:eastAsia="zh-CN"/>
        </w:rPr>
        <w:t>建立并实施</w:t>
      </w:r>
      <w:r>
        <w:rPr>
          <w:rFonts w:hint="eastAsia" w:ascii="Times New Roman" w:hAnsi="Times New Roman" w:eastAsia="仿宋_GB2312"/>
          <w:sz w:val="32"/>
          <w:lang w:eastAsia="zh-CN"/>
        </w:rPr>
        <w:t>药品质量安全风险管理</w:t>
      </w:r>
      <w:r>
        <w:rPr>
          <w:rFonts w:hint="eastAsia" w:ascii="Times New Roman" w:hAnsi="Times New Roman" w:eastAsia="仿宋_GB2312"/>
          <w:sz w:val="32"/>
          <w:lang w:val="en-US" w:eastAsia="zh-CN"/>
        </w:rPr>
        <w:t>制度并持续完善</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鼓励</w:t>
      </w:r>
      <w:r>
        <w:rPr>
          <w:rFonts w:hint="eastAsia" w:ascii="Times New Roman" w:hAnsi="Times New Roman" w:eastAsia="仿宋_GB2312"/>
          <w:sz w:val="32"/>
          <w:lang w:eastAsia="zh-CN"/>
        </w:rPr>
        <w:t>建立风险监测、分析、研判、防范、预警、处置机制，对平台内的药品网络</w:t>
      </w:r>
      <w:r>
        <w:rPr>
          <w:rFonts w:hint="eastAsia" w:ascii="Times New Roman" w:hAnsi="Times New Roman" w:eastAsia="仿宋_GB2312"/>
          <w:sz w:val="32"/>
          <w:lang w:val="en-US" w:eastAsia="zh-CN"/>
        </w:rPr>
        <w:t>零</w:t>
      </w:r>
      <w:r>
        <w:rPr>
          <w:rFonts w:hint="eastAsia" w:ascii="Times New Roman" w:hAnsi="Times New Roman" w:eastAsia="仿宋_GB2312"/>
          <w:sz w:val="32"/>
          <w:lang w:eastAsia="zh-CN"/>
        </w:rPr>
        <w:t>售活动开展检查监控。</w:t>
      </w:r>
      <w:r>
        <w:rPr>
          <w:rFonts w:hint="eastAsia" w:ascii="Times New Roman" w:hAnsi="Times New Roman" w:eastAsia="仿宋_GB2312"/>
          <w:sz w:val="32"/>
          <w:lang w:val="en-US" w:eastAsia="zh-CN"/>
        </w:rPr>
        <w:t>鼓励平台企业之间建立风险信息共享机制，对违法违规行为形成治理合力。</w:t>
      </w:r>
    </w:p>
    <w:p w14:paraId="2273E469">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黑体" w:hAnsi="黑体" w:eastAsia="黑体" w:cs="黑体"/>
          <w:sz w:val="32"/>
          <w:lang w:eastAsia="zh-CN"/>
        </w:rPr>
      </w:pPr>
      <w:r>
        <w:rPr>
          <w:rFonts w:hint="eastAsia" w:ascii="黑体" w:hAnsi="黑体" w:eastAsia="黑体" w:cs="黑体"/>
          <w:sz w:val="32"/>
          <w:lang w:eastAsia="zh-CN"/>
        </w:rPr>
        <w:t>【承接电子处方</w:t>
      </w:r>
      <w:r>
        <w:rPr>
          <w:rFonts w:hint="default" w:ascii="黑体" w:hAnsi="黑体" w:eastAsia="黑体" w:cs="黑体"/>
          <w:sz w:val="32"/>
          <w:lang w:val="en-US" w:eastAsia="zh-CN"/>
        </w:rPr>
        <w:t xml:space="preserve">】  </w:t>
      </w:r>
      <w:r>
        <w:rPr>
          <w:rFonts w:hint="eastAsia" w:ascii="Times New Roman" w:hAnsi="Times New Roman" w:eastAsia="仿宋_GB2312"/>
          <w:sz w:val="32"/>
          <w:lang w:eastAsia="zh-CN"/>
        </w:rPr>
        <w:t>第三方平台承接电子处方的，应当对电子处方提供单位的情况进行核实，并签订协议。</w:t>
      </w:r>
      <w:r>
        <w:rPr>
          <w:rFonts w:hint="eastAsia" w:ascii="Times New Roman" w:hAnsi="Times New Roman" w:eastAsia="仿宋_GB2312"/>
          <w:sz w:val="32"/>
          <w:lang w:val="en-US" w:eastAsia="zh-CN"/>
        </w:rPr>
        <w:t>建议对电子处方提供单位定期开展供应商合规审计，重点关注是否存在</w:t>
      </w:r>
      <w:r>
        <w:rPr>
          <w:rFonts w:hint="eastAsia" w:ascii="Times New Roman" w:hAnsi="Times New Roman" w:eastAsia="仿宋_GB2312"/>
          <w:sz w:val="32"/>
          <w:lang w:eastAsia="zh-CN"/>
        </w:rPr>
        <w:t>弄虚作假、违规开具处方等情况。</w:t>
      </w:r>
    </w:p>
    <w:p w14:paraId="746BAD51">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lang w:eastAsia="zh-CN"/>
        </w:rPr>
      </w:pPr>
      <w:r>
        <w:rPr>
          <w:rFonts w:hint="eastAsia" w:ascii="黑体" w:hAnsi="黑体" w:eastAsia="黑体" w:cs="黑体"/>
          <w:sz w:val="32"/>
          <w:lang w:eastAsia="zh-CN"/>
        </w:rPr>
        <w:t>【信息展示</w:t>
      </w:r>
      <w:r>
        <w:rPr>
          <w:rFonts w:hint="default" w:ascii="黑体" w:hAnsi="黑体" w:eastAsia="黑体" w:cs="黑体"/>
          <w:sz w:val="32"/>
          <w:lang w:val="en-US" w:eastAsia="zh-CN"/>
        </w:rPr>
        <w:t xml:space="preserve">】  </w:t>
      </w:r>
      <w:r>
        <w:rPr>
          <w:rFonts w:hint="eastAsia" w:ascii="Times New Roman" w:hAnsi="Times New Roman" w:eastAsia="仿宋_GB2312"/>
          <w:sz w:val="32"/>
          <w:lang w:eastAsia="zh-CN"/>
        </w:rPr>
        <w:t>第三方平台可以参照本指南第十二条、第十三条、第十四条、第十五条的相关要求完善平台处方药信息展示管理规范。在处方审核通过前，</w:t>
      </w:r>
      <w:r>
        <w:rPr>
          <w:rFonts w:hint="eastAsia" w:ascii="Times New Roman" w:hAnsi="Times New Roman" w:eastAsia="仿宋_GB2312"/>
          <w:sz w:val="32"/>
          <w:lang w:val="en-US" w:eastAsia="zh-CN"/>
        </w:rPr>
        <w:t>第三方平台不得</w:t>
      </w:r>
      <w:r>
        <w:rPr>
          <w:rFonts w:hint="eastAsia" w:ascii="Times New Roman" w:hAnsi="Times New Roman" w:eastAsia="仿宋_GB2312"/>
          <w:sz w:val="32"/>
          <w:lang w:eastAsia="zh-CN"/>
        </w:rPr>
        <w:t>违规向消费者展示或提供药品说明书，</w:t>
      </w:r>
      <w:r>
        <w:rPr>
          <w:rFonts w:hint="eastAsia" w:ascii="Times New Roman" w:hAnsi="Times New Roman" w:eastAsia="仿宋_GB2312"/>
          <w:sz w:val="32"/>
          <w:lang w:val="en-US" w:eastAsia="zh-CN"/>
        </w:rPr>
        <w:t>不得</w:t>
      </w:r>
      <w:r>
        <w:rPr>
          <w:rFonts w:hint="eastAsia" w:ascii="Times New Roman" w:hAnsi="Times New Roman" w:eastAsia="仿宋_GB2312"/>
          <w:sz w:val="32"/>
          <w:lang w:eastAsia="zh-CN"/>
        </w:rPr>
        <w:t>违规出现功能主治、适应症、用法用量等信息。</w:t>
      </w:r>
    </w:p>
    <w:p w14:paraId="091765AE">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黑体" w:hAnsi="黑体" w:eastAsia="黑体" w:cs="黑体"/>
          <w:sz w:val="32"/>
          <w:lang w:eastAsia="zh-CN"/>
        </w:rPr>
      </w:pPr>
      <w:r>
        <w:rPr>
          <w:rFonts w:hint="eastAsia" w:ascii="黑体" w:hAnsi="黑体" w:eastAsia="黑体" w:cs="黑体"/>
          <w:sz w:val="32"/>
          <w:lang w:eastAsia="zh-CN"/>
        </w:rPr>
        <w:t>【处方评价</w:t>
      </w:r>
      <w:r>
        <w:rPr>
          <w:rFonts w:hint="default" w:ascii="黑体" w:hAnsi="黑体" w:eastAsia="黑体" w:cs="黑体"/>
          <w:sz w:val="32"/>
          <w:lang w:val="en-US" w:eastAsia="zh-CN"/>
        </w:rPr>
        <w:t xml:space="preserve">】  </w:t>
      </w:r>
      <w:r>
        <w:rPr>
          <w:rFonts w:hint="eastAsia" w:ascii="Times New Roman" w:hAnsi="Times New Roman" w:eastAsia="仿宋_GB2312" w:cs="Times New Roman"/>
          <w:sz w:val="32"/>
          <w:lang w:eastAsia="zh-CN"/>
        </w:rPr>
        <w:t>鼓励</w:t>
      </w:r>
      <w:r>
        <w:rPr>
          <w:rFonts w:hint="eastAsia" w:ascii="Times New Roman" w:hAnsi="Times New Roman" w:eastAsia="仿宋_GB2312"/>
          <w:sz w:val="32"/>
          <w:lang w:eastAsia="zh-CN"/>
        </w:rPr>
        <w:t>第三方平台</w:t>
      </w:r>
      <w:r>
        <w:rPr>
          <w:rFonts w:hint="eastAsia" w:ascii="Times New Roman" w:hAnsi="Times New Roman" w:eastAsia="仿宋_GB2312"/>
          <w:sz w:val="32"/>
          <w:lang w:val="en-US" w:eastAsia="zh-CN"/>
        </w:rPr>
        <w:t>建立处方药销售药学服务管理制度，</w:t>
      </w:r>
      <w:r>
        <w:rPr>
          <w:rFonts w:hint="eastAsia" w:ascii="Times New Roman" w:hAnsi="Times New Roman" w:eastAsia="仿宋_GB2312"/>
          <w:sz w:val="32"/>
          <w:lang w:eastAsia="zh-CN"/>
        </w:rPr>
        <w:t>对不规范处方、用药不适宜处方、超常规处方、同一账号多次购买处方药等情形实施动态监测及预警分析，可以每季度对平台内的处方使用情况及处方药销售情况开展一次回顾性评价，及时发现并消除风险隐患。</w:t>
      </w:r>
    </w:p>
    <w:p w14:paraId="403006A1">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pacing w:val="-6"/>
          <w:sz w:val="32"/>
          <w:lang w:eastAsia="zh-CN"/>
        </w:rPr>
      </w:pPr>
      <w:r>
        <w:rPr>
          <w:rFonts w:hint="eastAsia" w:ascii="黑体" w:hAnsi="黑体" w:eastAsia="黑体" w:cs="黑体"/>
          <w:sz w:val="32"/>
          <w:lang w:eastAsia="zh-CN"/>
        </w:rPr>
        <w:t>【质量管理</w:t>
      </w:r>
      <w:r>
        <w:rPr>
          <w:rFonts w:hint="default" w:ascii="黑体" w:hAnsi="黑体" w:eastAsia="黑体" w:cs="黑体"/>
          <w:sz w:val="32"/>
          <w:lang w:val="en-US" w:eastAsia="zh-CN"/>
        </w:rPr>
        <w:t xml:space="preserve">】  </w:t>
      </w:r>
      <w:r>
        <w:rPr>
          <w:rFonts w:hint="eastAsia" w:ascii="Times New Roman" w:hAnsi="Times New Roman" w:eastAsia="仿宋_GB2312"/>
          <w:sz w:val="32"/>
          <w:lang w:eastAsia="zh-CN"/>
        </w:rPr>
        <w:t>第三方平台可以定期通过商家飞行检查、商品质量抽检、审方情况抽查、用户消费回访等方式，</w:t>
      </w:r>
      <w:r>
        <w:rPr>
          <w:rFonts w:hint="eastAsia" w:ascii="Times New Roman" w:hAnsi="Times New Roman" w:eastAsia="仿宋_GB2312"/>
          <w:spacing w:val="-6"/>
          <w:sz w:val="32"/>
          <w:lang w:eastAsia="zh-CN"/>
        </w:rPr>
        <w:t>对平台内的处方药网络零售合规情况开展全生命周期管理，鼓励企业探索运用新技术、新工具对平台的合规管理绩效进行评价改进。</w:t>
      </w:r>
    </w:p>
    <w:p w14:paraId="380994F8">
      <w:pPr>
        <w:keepNext w:val="0"/>
        <w:keepLines w:val="0"/>
        <w:pageBreakBefore w:val="0"/>
        <w:widowControl w:val="0"/>
        <w:numPr>
          <w:ilvl w:val="0"/>
          <w:numId w:val="3"/>
        </w:numPr>
        <w:kinsoku/>
        <w:wordWrap/>
        <w:overflowPunct/>
        <w:topLinePunct w:val="0"/>
        <w:autoSpaceDE/>
        <w:autoSpaceDN/>
        <w:bidi w:val="0"/>
        <w:adjustRightInd/>
        <w:snapToGrid/>
        <w:spacing w:beforeLines="0" w:line="560" w:lineRule="exact"/>
        <w:ind w:left="0" w:leftChars="0" w:firstLine="0" w:firstLineChars="0"/>
        <w:jc w:val="center"/>
        <w:textAlignment w:val="auto"/>
        <w:outlineLvl w:val="0"/>
        <w:rPr>
          <w:rFonts w:hint="eastAsia" w:ascii="方正小标宋简体" w:hAnsi="方正小标宋简体" w:eastAsia="方正小标宋简体" w:cs="方正小标宋简体"/>
          <w:sz w:val="32"/>
          <w:lang w:eastAsia="zh-CN"/>
        </w:rPr>
      </w:pPr>
      <w:r>
        <w:rPr>
          <w:rFonts w:hint="eastAsia" w:ascii="方正小标宋简体" w:hAnsi="方正小标宋简体" w:eastAsia="方正小标宋简体" w:cs="方正小标宋简体"/>
          <w:sz w:val="32"/>
          <w:lang w:val="en-US" w:eastAsia="zh-CN"/>
        </w:rPr>
        <w:t xml:space="preserve"> </w:t>
      </w:r>
      <w:r>
        <w:rPr>
          <w:rFonts w:hint="eastAsia" w:ascii="方正小标宋简体" w:hAnsi="方正小标宋简体" w:eastAsia="方正小标宋简体" w:cs="方正小标宋简体"/>
          <w:sz w:val="32"/>
          <w:lang w:eastAsia="zh-CN"/>
        </w:rPr>
        <w:t>附</w:t>
      </w:r>
      <w:r>
        <w:rPr>
          <w:rFonts w:hint="default" w:ascii="方正小标宋简体" w:hAnsi="方正小标宋简体" w:eastAsia="方正小标宋简体" w:cs="方正小标宋简体"/>
          <w:sz w:val="32"/>
          <w:lang w:val="en-US" w:eastAsia="zh-CN"/>
        </w:rPr>
        <w:t xml:space="preserve">  </w:t>
      </w:r>
      <w:r>
        <w:rPr>
          <w:rFonts w:hint="eastAsia" w:ascii="方正小标宋简体" w:hAnsi="方正小标宋简体" w:eastAsia="方正小标宋简体" w:cs="方正小标宋简体"/>
          <w:sz w:val="32"/>
          <w:lang w:eastAsia="zh-CN"/>
        </w:rPr>
        <w:t>则</w:t>
      </w:r>
    </w:p>
    <w:p w14:paraId="3AC2F3AD">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textAlignment w:val="auto"/>
        <w:rPr>
          <w:rFonts w:hint="eastAsia" w:ascii="Times New Roman" w:hAnsi="Times New Roman" w:eastAsia="仿宋_GB2312"/>
          <w:sz w:val="32"/>
          <w:lang w:eastAsia="zh-CN"/>
        </w:rPr>
      </w:pPr>
      <w:r>
        <w:rPr>
          <w:rFonts w:hint="eastAsia" w:ascii="黑体" w:hAnsi="黑体" w:eastAsia="黑体" w:cs="黑体"/>
          <w:sz w:val="32"/>
          <w:lang w:eastAsia="zh-CN"/>
        </w:rPr>
        <w:t>【指南效力</w:t>
      </w:r>
      <w:r>
        <w:rPr>
          <w:rFonts w:hint="default" w:ascii="黑体" w:hAnsi="黑体" w:eastAsia="黑体" w:cs="黑体"/>
          <w:sz w:val="32"/>
          <w:lang w:val="en-US" w:eastAsia="zh-CN"/>
        </w:rPr>
        <w:t xml:space="preserve">】  </w:t>
      </w:r>
      <w:r>
        <w:rPr>
          <w:rFonts w:hint="eastAsia" w:ascii="Times New Roman" w:hAnsi="Times New Roman" w:eastAsia="仿宋_GB2312"/>
          <w:sz w:val="32"/>
          <w:lang w:eastAsia="zh-CN"/>
        </w:rPr>
        <w:t>本指南仅对处方药网络零售活动的合规管理作出一般性指导，不具有强制性。法律、法规、规章、标准和规范中已有相关规定或另有专门规定的，从其规定。</w:t>
      </w:r>
    </w:p>
    <w:p w14:paraId="20E1B6C4">
      <w:pPr>
        <w:keepNext w:val="0"/>
        <w:keepLines w:val="0"/>
        <w:pageBreakBefore w:val="0"/>
        <w:widowControl w:val="0"/>
        <w:numPr>
          <w:ilvl w:val="0"/>
          <w:numId w:val="2"/>
        </w:numPr>
        <w:kinsoku/>
        <w:wordWrap/>
        <w:overflowPunct/>
        <w:topLinePunct w:val="0"/>
        <w:autoSpaceDE/>
        <w:autoSpaceDN/>
        <w:bidi w:val="0"/>
        <w:adjustRightInd/>
        <w:snapToGrid/>
        <w:spacing w:beforeLines="0" w:line="560" w:lineRule="exact"/>
        <w:ind w:left="0" w:leftChars="0" w:firstLine="640" w:firstLineChars="200"/>
        <w:jc w:val="both"/>
        <w:textAlignment w:val="auto"/>
        <w:outlineLvl w:val="9"/>
        <w:rPr>
          <w:rFonts w:hint="eastAsia" w:ascii="黑体" w:hAnsi="黑体" w:eastAsia="黑体" w:cs="黑体"/>
          <w:sz w:val="32"/>
          <w:lang w:eastAsia="zh-CN"/>
        </w:rPr>
      </w:pPr>
      <w:r>
        <w:rPr>
          <w:rFonts w:hint="eastAsia" w:ascii="黑体" w:hAnsi="黑体" w:eastAsia="黑体" w:cs="黑体"/>
          <w:sz w:val="32"/>
          <w:lang w:eastAsia="zh-CN"/>
        </w:rPr>
        <w:t>【处罚实施</w:t>
      </w:r>
      <w:r>
        <w:rPr>
          <w:rFonts w:hint="default" w:ascii="黑体" w:hAnsi="黑体" w:eastAsia="黑体" w:cs="黑体"/>
          <w:sz w:val="32"/>
          <w:lang w:val="en-US" w:eastAsia="zh-CN"/>
        </w:rPr>
        <w:t xml:space="preserve">】  </w:t>
      </w:r>
      <w:r>
        <w:rPr>
          <w:rFonts w:hint="eastAsia" w:ascii="Times New Roman" w:hAnsi="Times New Roman" w:eastAsia="仿宋_GB2312"/>
          <w:sz w:val="32"/>
          <w:lang w:eastAsia="zh-CN"/>
        </w:rPr>
        <w:t>药品网络零售相关从业者违反法律、法规、规章规定的，由有关部门依法进行查处；构成犯罪的，依法追究刑事责任。</w:t>
      </w:r>
    </w:p>
    <w:p w14:paraId="520D1EB9">
      <w:pPr>
        <w:numPr>
          <w:ilvl w:val="0"/>
          <w:numId w:val="2"/>
        </w:numPr>
        <w:spacing w:beforeLines="0" w:line="560" w:lineRule="exact"/>
        <w:ind w:firstLine="640" w:firstLineChars="200"/>
        <w:rPr>
          <w:rFonts w:hint="default" w:ascii="Times New Roman" w:hAnsi="Times New Roman" w:eastAsia="仿宋_GB2312" w:cs="Times New Roman"/>
          <w:sz w:val="28"/>
          <w:szCs w:val="28"/>
          <w:lang w:eastAsia="zh-CN"/>
        </w:rPr>
      </w:pPr>
      <w:r>
        <w:rPr>
          <w:rFonts w:hint="eastAsia" w:ascii="黑体" w:hAnsi="黑体" w:eastAsia="黑体" w:cs="黑体"/>
          <w:sz w:val="32"/>
          <w:lang w:eastAsia="zh-CN"/>
        </w:rPr>
        <w:t>【指南解释</w:t>
      </w:r>
      <w:r>
        <w:rPr>
          <w:rFonts w:hint="default" w:ascii="黑体" w:hAnsi="黑体" w:eastAsia="黑体" w:cs="黑体"/>
          <w:sz w:val="32"/>
          <w:lang w:val="en-US" w:eastAsia="zh-CN"/>
        </w:rPr>
        <w:t xml:space="preserve">】  </w:t>
      </w:r>
      <w:r>
        <w:rPr>
          <w:rFonts w:hint="eastAsia" w:ascii="Times New Roman" w:hAnsi="Times New Roman" w:eastAsia="仿宋_GB2312"/>
          <w:sz w:val="32"/>
          <w:lang w:eastAsia="zh-CN"/>
        </w:rPr>
        <w:t>本指南由国家药品监督管理局负责解释，自发布之日起实施。</w:t>
      </w:r>
    </w:p>
    <w:p w14:paraId="2C19D18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BD8EF"/>
    <w:multiLevelType w:val="singleLevel"/>
    <w:tmpl w:val="95BBD8EF"/>
    <w:lvl w:ilvl="0" w:tentative="0">
      <w:start w:val="2"/>
      <w:numFmt w:val="chineseCounting"/>
      <w:suff w:val="space"/>
      <w:lvlText w:val="第%1章"/>
      <w:lvlJc w:val="left"/>
      <w:rPr>
        <w:rFonts w:hint="eastAsia"/>
      </w:rPr>
    </w:lvl>
  </w:abstractNum>
  <w:abstractNum w:abstractNumId="1">
    <w:nsid w:val="A4CA503D"/>
    <w:multiLevelType w:val="singleLevel"/>
    <w:tmpl w:val="A4CA503D"/>
    <w:lvl w:ilvl="0" w:tentative="0">
      <w:start w:val="1"/>
      <w:numFmt w:val="chineseCounting"/>
      <w:suff w:val="nothing"/>
      <w:lvlText w:val="（%1）"/>
      <w:lvlJc w:val="left"/>
      <w:pPr>
        <w:ind w:left="0" w:firstLine="420"/>
      </w:pPr>
      <w:rPr>
        <w:rFonts w:hint="eastAsia"/>
      </w:rPr>
    </w:lvl>
  </w:abstractNum>
  <w:abstractNum w:abstractNumId="2">
    <w:nsid w:val="B5AB9773"/>
    <w:multiLevelType w:val="singleLevel"/>
    <w:tmpl w:val="B5AB9773"/>
    <w:lvl w:ilvl="0" w:tentative="0">
      <w:start w:val="1"/>
      <w:numFmt w:val="chineseCounting"/>
      <w:suff w:val="nothing"/>
      <w:lvlText w:val="（%1）"/>
      <w:lvlJc w:val="left"/>
      <w:pPr>
        <w:ind w:left="0" w:firstLine="420"/>
      </w:pPr>
      <w:rPr>
        <w:rFonts w:hint="eastAsia"/>
      </w:rPr>
    </w:lvl>
  </w:abstractNum>
  <w:abstractNum w:abstractNumId="3">
    <w:nsid w:val="BFAB6B09"/>
    <w:multiLevelType w:val="singleLevel"/>
    <w:tmpl w:val="BFAB6B09"/>
    <w:lvl w:ilvl="0" w:tentative="0">
      <w:start w:val="1"/>
      <w:numFmt w:val="chineseCounting"/>
      <w:suff w:val="space"/>
      <w:lvlText w:val="第%1章"/>
      <w:lvlJc w:val="left"/>
      <w:rPr>
        <w:rFonts w:hint="eastAsia"/>
      </w:rPr>
    </w:lvl>
  </w:abstractNum>
  <w:abstractNum w:abstractNumId="4">
    <w:nsid w:val="10874F91"/>
    <w:multiLevelType w:val="singleLevel"/>
    <w:tmpl w:val="10874F91"/>
    <w:lvl w:ilvl="0" w:tentative="0">
      <w:start w:val="1"/>
      <w:numFmt w:val="chineseCounting"/>
      <w:suff w:val="nothing"/>
      <w:lvlText w:val="第%1条"/>
      <w:lvlJc w:val="left"/>
      <w:pPr>
        <w:tabs>
          <w:tab w:val="left" w:pos="0"/>
        </w:tabs>
        <w:ind w:left="14" w:firstLine="40"/>
      </w:pPr>
      <w:rPr>
        <w:rFonts w:hint="eastAsia" w:eastAsia="黑体"/>
        <w:sz w:val="32"/>
      </w:rPr>
    </w:lvl>
  </w:abstractNum>
  <w:abstractNum w:abstractNumId="5">
    <w:nsid w:val="585EFAFF"/>
    <w:multiLevelType w:val="singleLevel"/>
    <w:tmpl w:val="585EFAFF"/>
    <w:lvl w:ilvl="0" w:tentative="0">
      <w:start w:val="1"/>
      <w:numFmt w:val="chineseCounting"/>
      <w:suff w:val="nothing"/>
      <w:lvlText w:val="（%1）"/>
      <w:lvlJc w:val="left"/>
      <w:pPr>
        <w:ind w:left="0" w:firstLine="420"/>
      </w:pPr>
      <w:rPr>
        <w:rFonts w:hint="eastAsia"/>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474786"/>
    <w:rsid w:val="6D474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2025-09-08T08:44:00Z</dcterms:created>
  <dc:creator>新祺</dc:creator>
  <cp:lastModifiedBy>新祺</cp:lastModifiedBy>
  <dcterms:modified xsi:type="dcterms:W3CDTF">2025-09-08T08:44:36Z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0E991C1BBE5244E3845B1456501ABA18_11</vt:lpwstr>
  </property>
  <property fmtid="{D5CDD505-2E9C-101B-9397-08002B2CF9AE}" pid="4" name="KSOTemplateDocerSaveRecord">
    <vt:lpwstr>eyJoZGlkIjoiYmYxNDY5MThhYWI0ZjJiYzliMmIyNmE0YjVlOWYxZDUiLCJ1c2VySWQiOiIyNzgyMDExNzcifQ==</vt:lpwstr>
  </property>
</Properties>
</file>